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29B949" w14:textId="531F8CBC" w:rsidR="004B2B73" w:rsidRPr="00FB3565" w:rsidRDefault="00DF067F" w:rsidP="00F53D99">
      <w:pPr>
        <w:jc w:val="both"/>
        <w:rPr>
          <w:rFonts w:ascii="Arial" w:hAnsi="Arial" w:cs="Arial"/>
          <w:sz w:val="22"/>
          <w:szCs w:val="22"/>
        </w:rPr>
      </w:pPr>
      <w:r>
        <w:rPr>
          <w:rFonts w:ascii="Arial" w:hAnsi="Arial" w:cs="Arial"/>
          <w:sz w:val="22"/>
          <w:szCs w:val="22"/>
        </w:rPr>
        <w:softHyphen/>
      </w:r>
      <w:r>
        <w:rPr>
          <w:rFonts w:ascii="Arial" w:hAnsi="Arial" w:cs="Arial"/>
          <w:sz w:val="22"/>
          <w:szCs w:val="22"/>
        </w:rPr>
        <w:softHyphen/>
      </w:r>
      <w:r>
        <w:rPr>
          <w:rFonts w:ascii="Arial" w:hAnsi="Arial" w:cs="Arial"/>
          <w:sz w:val="22"/>
          <w:szCs w:val="22"/>
        </w:rPr>
        <w:softHyphen/>
      </w:r>
      <w:r>
        <w:rPr>
          <w:rFonts w:ascii="Arial" w:hAnsi="Arial" w:cs="Arial"/>
          <w:sz w:val="22"/>
          <w:szCs w:val="22"/>
        </w:rPr>
        <w:softHyphen/>
      </w:r>
      <w:r>
        <w:rPr>
          <w:rFonts w:ascii="Arial" w:hAnsi="Arial" w:cs="Arial"/>
          <w:sz w:val="22"/>
          <w:szCs w:val="22"/>
        </w:rPr>
        <w:softHyphen/>
      </w:r>
      <w:r w:rsidR="004B2B73" w:rsidRPr="00FB3565">
        <w:rPr>
          <w:rFonts w:ascii="Arial" w:hAnsi="Arial" w:cs="Arial"/>
          <w:sz w:val="22"/>
          <w:szCs w:val="22"/>
        </w:rPr>
        <w:t>We hope you will find the referees' comments useful as you decide how to proceed. Should further experimental data or analysis allow you to address these criticisms, we would be happy to look at a substantially revised manuscript. However, please bear in mind that we will be reluctant to approach the referees again in the absence of major revisions.</w:t>
      </w:r>
    </w:p>
    <w:p w14:paraId="1CB6037B" w14:textId="77777777" w:rsidR="004B2B73" w:rsidRPr="00FB3565" w:rsidRDefault="004B2B73" w:rsidP="00F53D99">
      <w:pPr>
        <w:jc w:val="both"/>
        <w:rPr>
          <w:rFonts w:ascii="Arial" w:hAnsi="Arial" w:cs="Arial"/>
          <w:sz w:val="22"/>
          <w:szCs w:val="22"/>
        </w:rPr>
      </w:pPr>
    </w:p>
    <w:p w14:paraId="0DB056FC"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In particular, we ask that you:</w:t>
      </w:r>
    </w:p>
    <w:p w14:paraId="4105B818"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(1) Further </w:t>
      </w:r>
      <w:r w:rsidRPr="00FB3565">
        <w:rPr>
          <w:rFonts w:ascii="Arial" w:hAnsi="Arial" w:cs="Arial"/>
          <w:color w:val="FF0000"/>
          <w:sz w:val="22"/>
          <w:szCs w:val="22"/>
        </w:rPr>
        <w:t xml:space="preserve">integrate the RNA-seq and ATAC-seq datasets </w:t>
      </w:r>
      <w:r w:rsidRPr="00FB3565">
        <w:rPr>
          <w:rFonts w:ascii="Arial" w:hAnsi="Arial" w:cs="Arial"/>
          <w:sz w:val="22"/>
          <w:szCs w:val="22"/>
        </w:rPr>
        <w:t xml:space="preserve">to emphasize what new insights can be provided by combining these approaches in the same samples, rather than investigating these modalities in isolation, as noted by all three reviewers. At the same time, we agree with Reviewer #2 that the manuscript would benefit from </w:t>
      </w:r>
      <w:r w:rsidRPr="00FB3565">
        <w:rPr>
          <w:rFonts w:ascii="Arial" w:hAnsi="Arial" w:cs="Arial"/>
          <w:color w:val="FF0000"/>
          <w:sz w:val="22"/>
          <w:szCs w:val="22"/>
        </w:rPr>
        <w:t>further discussion of similar studies that investigated individual brain regions</w:t>
      </w:r>
      <w:r w:rsidRPr="00FB3565">
        <w:rPr>
          <w:rFonts w:ascii="Arial" w:hAnsi="Arial" w:cs="Arial"/>
          <w:sz w:val="22"/>
          <w:szCs w:val="22"/>
        </w:rPr>
        <w:t>.</w:t>
      </w:r>
    </w:p>
    <w:p w14:paraId="1374538D"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(2) Please </w:t>
      </w:r>
      <w:r w:rsidRPr="00FB3565">
        <w:rPr>
          <w:rFonts w:ascii="Arial" w:hAnsi="Arial" w:cs="Arial"/>
          <w:color w:val="FF0000"/>
          <w:sz w:val="22"/>
          <w:szCs w:val="22"/>
        </w:rPr>
        <w:t>elaborate on the Methods</w:t>
      </w:r>
      <w:r w:rsidRPr="00FB3565">
        <w:rPr>
          <w:rFonts w:ascii="Arial" w:hAnsi="Arial" w:cs="Arial"/>
          <w:sz w:val="22"/>
          <w:szCs w:val="22"/>
        </w:rPr>
        <w:t>, particularly any controls and efforts to mitigate batch effects, as noted by Reviewers #2-3.</w:t>
      </w:r>
    </w:p>
    <w:p w14:paraId="70B61219" w14:textId="77777777" w:rsidR="009F428E" w:rsidRPr="00FB3565" w:rsidRDefault="004B2B73" w:rsidP="00F53D99">
      <w:pPr>
        <w:jc w:val="both"/>
        <w:rPr>
          <w:rFonts w:ascii="Arial" w:hAnsi="Arial" w:cs="Arial"/>
          <w:sz w:val="22"/>
          <w:szCs w:val="22"/>
        </w:rPr>
      </w:pPr>
      <w:r w:rsidRPr="00FB3565">
        <w:rPr>
          <w:rFonts w:ascii="Arial" w:hAnsi="Arial" w:cs="Arial"/>
          <w:sz w:val="22"/>
          <w:szCs w:val="22"/>
        </w:rPr>
        <w:t xml:space="preserve">(3) On a side note, please carefully review the annotated manuscript file provided by Reviewer </w:t>
      </w:r>
      <w:proofErr w:type="gramStart"/>
      <w:r w:rsidRPr="00FB3565">
        <w:rPr>
          <w:rFonts w:ascii="Arial" w:hAnsi="Arial" w:cs="Arial"/>
          <w:sz w:val="22"/>
          <w:szCs w:val="22"/>
        </w:rPr>
        <w:t>#1, and</w:t>
      </w:r>
      <w:proofErr w:type="gramEnd"/>
      <w:r w:rsidRPr="00FB3565">
        <w:rPr>
          <w:rFonts w:ascii="Arial" w:hAnsi="Arial" w:cs="Arial"/>
          <w:sz w:val="22"/>
          <w:szCs w:val="22"/>
        </w:rPr>
        <w:t xml:space="preserve"> integrate their discussion points (along with those from the other reviewers, particularly regarding limitations such as the </w:t>
      </w:r>
      <w:r w:rsidRPr="00FB3565">
        <w:rPr>
          <w:rFonts w:ascii="Arial" w:hAnsi="Arial" w:cs="Arial"/>
          <w:color w:val="FF0000"/>
          <w:sz w:val="22"/>
          <w:szCs w:val="22"/>
        </w:rPr>
        <w:t>exclusive use of male rats or acute exposure models</w:t>
      </w:r>
      <w:r w:rsidRPr="00FB3565">
        <w:rPr>
          <w:rFonts w:ascii="Arial" w:hAnsi="Arial" w:cs="Arial"/>
          <w:sz w:val="22"/>
          <w:szCs w:val="22"/>
        </w:rPr>
        <w:t>) into the point-by-point rebuttal letter.</w:t>
      </w:r>
    </w:p>
    <w:p w14:paraId="13E14D09" w14:textId="77777777" w:rsidR="00F260E0" w:rsidRPr="00FB3565" w:rsidRDefault="00F260E0" w:rsidP="00F53D99">
      <w:pPr>
        <w:jc w:val="both"/>
        <w:rPr>
          <w:rFonts w:ascii="Arial" w:hAnsi="Arial" w:cs="Arial"/>
          <w:sz w:val="22"/>
          <w:szCs w:val="22"/>
        </w:rPr>
      </w:pPr>
    </w:p>
    <w:p w14:paraId="455500CD" w14:textId="77777777" w:rsidR="00F260E0" w:rsidRPr="00FB3565" w:rsidRDefault="00F830F6" w:rsidP="00F53D99">
      <w:pPr>
        <w:jc w:val="both"/>
        <w:rPr>
          <w:rFonts w:ascii="Arial" w:hAnsi="Arial" w:cs="Arial"/>
          <w:sz w:val="22"/>
          <w:szCs w:val="22"/>
        </w:rPr>
      </w:pPr>
      <w:r w:rsidRPr="00FB3565">
        <w:rPr>
          <w:rFonts w:ascii="Arial" w:hAnsi="Arial" w:cs="Arial"/>
          <w:sz w:val="22"/>
          <w:szCs w:val="22"/>
        </w:rPr>
        <w:t xml:space="preserve">If you decide to submit a revised version, we ask that you ensure your </w:t>
      </w:r>
      <w:r w:rsidRPr="00FB3565">
        <w:rPr>
          <w:rFonts w:ascii="Arial" w:hAnsi="Arial" w:cs="Arial"/>
          <w:color w:val="FF0000"/>
          <w:sz w:val="22"/>
          <w:szCs w:val="22"/>
        </w:rPr>
        <w:t>manuscript complies with our editorial policies</w:t>
      </w:r>
      <w:r w:rsidRPr="00FB3565">
        <w:rPr>
          <w:rFonts w:ascii="Arial" w:hAnsi="Arial" w:cs="Arial"/>
          <w:sz w:val="22"/>
          <w:szCs w:val="22"/>
        </w:rPr>
        <w:t>. Please see our revision checklist for guidance on formatting the manuscript and complying with our policies. A comprehensive guide to our formatting requirements for final submissions is also available for your reference here.</w:t>
      </w:r>
    </w:p>
    <w:p w14:paraId="690C8A98" w14:textId="77777777" w:rsidR="00200964" w:rsidRPr="00FB3565" w:rsidRDefault="00200964" w:rsidP="00F53D99">
      <w:pPr>
        <w:jc w:val="both"/>
        <w:rPr>
          <w:rFonts w:ascii="Arial" w:hAnsi="Arial" w:cs="Arial"/>
          <w:sz w:val="22"/>
          <w:szCs w:val="22"/>
        </w:rPr>
      </w:pPr>
    </w:p>
    <w:p w14:paraId="212DC60F" w14:textId="77777777" w:rsidR="00200964" w:rsidRPr="00FB3565" w:rsidRDefault="00200964" w:rsidP="00F53D99">
      <w:pPr>
        <w:jc w:val="both"/>
        <w:rPr>
          <w:rFonts w:ascii="Arial" w:hAnsi="Arial" w:cs="Arial"/>
          <w:sz w:val="22"/>
          <w:szCs w:val="22"/>
        </w:rPr>
      </w:pPr>
      <w:r w:rsidRPr="00FB3565">
        <w:rPr>
          <w:rFonts w:ascii="Arial" w:hAnsi="Arial" w:cs="Arial"/>
          <w:sz w:val="22"/>
          <w:szCs w:val="22"/>
        </w:rPr>
        <w:t>Please use the following link to submit your revised manuscript, point-by-point response to the referees’ comments (which should be in a separate document to any cover letter) and any completed checklist:</w:t>
      </w:r>
    </w:p>
    <w:p w14:paraId="7413E2F2" w14:textId="77777777" w:rsidR="00200964" w:rsidRPr="00FB3565" w:rsidRDefault="001C1B8A" w:rsidP="00F53D99">
      <w:pPr>
        <w:jc w:val="both"/>
        <w:rPr>
          <w:rFonts w:ascii="Arial" w:hAnsi="Arial" w:cs="Arial"/>
          <w:sz w:val="22"/>
          <w:szCs w:val="22"/>
        </w:rPr>
      </w:pPr>
      <w:hyperlink r:id="rId6" w:history="1">
        <w:r w:rsidR="00200964" w:rsidRPr="00FB3565">
          <w:rPr>
            <w:rStyle w:val="Hyperlink"/>
            <w:rFonts w:ascii="Arial" w:hAnsi="Arial" w:cs="Arial"/>
            <w:sz w:val="22"/>
            <w:szCs w:val="22"/>
          </w:rPr>
          <w:t>https://mts-commsbio.nature.com/cgi-bin/main.plex?el=A4Cx5FGx2A4eOr4I5A9ftdBykMwkOkWTeWwlEFXgQZ</w:t>
        </w:r>
      </w:hyperlink>
    </w:p>
    <w:p w14:paraId="39F65247" w14:textId="77777777" w:rsidR="00200964" w:rsidRPr="00FB3565" w:rsidRDefault="00200964" w:rsidP="00F53D99">
      <w:pPr>
        <w:jc w:val="both"/>
        <w:rPr>
          <w:rFonts w:ascii="Arial" w:hAnsi="Arial" w:cs="Arial"/>
          <w:sz w:val="22"/>
          <w:szCs w:val="22"/>
        </w:rPr>
      </w:pPr>
    </w:p>
    <w:p w14:paraId="39BF4B14" w14:textId="73E64C00" w:rsidR="00200964" w:rsidRPr="00FB3565" w:rsidRDefault="009519EB" w:rsidP="00F53D99">
      <w:pPr>
        <w:jc w:val="both"/>
        <w:rPr>
          <w:rFonts w:ascii="Arial" w:hAnsi="Arial" w:cs="Arial"/>
          <w:sz w:val="22"/>
          <w:szCs w:val="22"/>
        </w:rPr>
      </w:pPr>
      <w:r w:rsidRPr="00FB3565">
        <w:rPr>
          <w:rFonts w:ascii="Arial" w:hAnsi="Arial" w:cs="Arial"/>
          <w:sz w:val="22"/>
          <w:szCs w:val="22"/>
        </w:rPr>
        <w:t xml:space="preserve">We expect major revisions of this nature to take around </w:t>
      </w:r>
      <w:r w:rsidRPr="00FB3565">
        <w:rPr>
          <w:rFonts w:ascii="Arial" w:hAnsi="Arial" w:cs="Arial"/>
          <w:color w:val="FF0000"/>
          <w:sz w:val="22"/>
          <w:szCs w:val="22"/>
        </w:rPr>
        <w:t xml:space="preserve">six months </w:t>
      </w:r>
      <w:r w:rsidRPr="00FB3565">
        <w:rPr>
          <w:rFonts w:ascii="Arial" w:hAnsi="Arial" w:cs="Arial"/>
          <w:sz w:val="22"/>
          <w:szCs w:val="22"/>
        </w:rPr>
        <w:t xml:space="preserve">to </w:t>
      </w:r>
      <w:proofErr w:type="gramStart"/>
      <w:r w:rsidRPr="00FB3565">
        <w:rPr>
          <w:rFonts w:ascii="Arial" w:hAnsi="Arial" w:cs="Arial"/>
          <w:sz w:val="22"/>
          <w:szCs w:val="22"/>
        </w:rPr>
        <w:t>complete, but</w:t>
      </w:r>
      <w:proofErr w:type="gramEnd"/>
      <w:r w:rsidRPr="00FB3565">
        <w:rPr>
          <w:rFonts w:ascii="Arial" w:hAnsi="Arial" w:cs="Arial"/>
          <w:sz w:val="22"/>
          <w:szCs w:val="22"/>
        </w:rPr>
        <w:t xml:space="preserve"> appreciate that every situation is unique. Please take as long as necessary to address these concerns in full, including performing any additional experimental work required. We look forward to receiving your revised manuscript when it is ready and will not enforce any specific deadline.</w:t>
      </w:r>
    </w:p>
    <w:p w14:paraId="7AB01D92" w14:textId="64FEA1E5" w:rsidR="00200964" w:rsidRPr="00FB3565" w:rsidRDefault="00200964" w:rsidP="00F53D99">
      <w:pPr>
        <w:jc w:val="both"/>
        <w:rPr>
          <w:rFonts w:ascii="Arial" w:hAnsi="Arial" w:cs="Arial"/>
          <w:sz w:val="22"/>
          <w:szCs w:val="22"/>
        </w:rPr>
      </w:pPr>
    </w:p>
    <w:p w14:paraId="356CEB0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expertise:</w:t>
      </w:r>
    </w:p>
    <w:p w14:paraId="2E8151D2" w14:textId="77777777" w:rsidR="009519EB" w:rsidRPr="00FB3565" w:rsidRDefault="009519EB" w:rsidP="00F53D99">
      <w:pPr>
        <w:jc w:val="both"/>
        <w:rPr>
          <w:rFonts w:ascii="Arial" w:hAnsi="Arial" w:cs="Arial"/>
          <w:sz w:val="22"/>
          <w:szCs w:val="22"/>
        </w:rPr>
      </w:pPr>
    </w:p>
    <w:p w14:paraId="322CBCCE"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 xml:space="preserve">Referee #1: </w:t>
      </w:r>
      <w:proofErr w:type="spellStart"/>
      <w:r w:rsidRPr="00FB3565">
        <w:rPr>
          <w:rFonts w:ascii="Arial" w:hAnsi="Arial" w:cs="Arial"/>
          <w:sz w:val="22"/>
          <w:szCs w:val="22"/>
        </w:rPr>
        <w:t>neuroepigenetics</w:t>
      </w:r>
      <w:proofErr w:type="spellEnd"/>
      <w:r w:rsidRPr="00FB3565">
        <w:rPr>
          <w:rFonts w:ascii="Arial" w:hAnsi="Arial" w:cs="Arial"/>
          <w:sz w:val="22"/>
          <w:szCs w:val="22"/>
        </w:rPr>
        <w:t>, addiction</w:t>
      </w:r>
    </w:p>
    <w:p w14:paraId="79540AAB" w14:textId="77777777" w:rsidR="009519EB" w:rsidRPr="00FB3565" w:rsidRDefault="009519EB" w:rsidP="00F53D99">
      <w:pPr>
        <w:jc w:val="both"/>
        <w:rPr>
          <w:rFonts w:ascii="Arial" w:hAnsi="Arial" w:cs="Arial"/>
          <w:sz w:val="22"/>
          <w:szCs w:val="22"/>
        </w:rPr>
      </w:pPr>
    </w:p>
    <w:p w14:paraId="282A282D"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#2: animal models of addiction, epigenomics</w:t>
      </w:r>
    </w:p>
    <w:p w14:paraId="7454091B" w14:textId="77777777" w:rsidR="009519EB" w:rsidRPr="00FB3565" w:rsidRDefault="009519EB" w:rsidP="00F53D99">
      <w:pPr>
        <w:jc w:val="both"/>
        <w:rPr>
          <w:rFonts w:ascii="Arial" w:hAnsi="Arial" w:cs="Arial"/>
          <w:sz w:val="22"/>
          <w:szCs w:val="22"/>
        </w:rPr>
      </w:pPr>
    </w:p>
    <w:p w14:paraId="1795BED0" w14:textId="56EE4AF1" w:rsidR="009519EB" w:rsidRPr="00FB3565" w:rsidRDefault="009519EB" w:rsidP="00F53D99">
      <w:pPr>
        <w:jc w:val="both"/>
        <w:rPr>
          <w:rFonts w:ascii="Arial" w:hAnsi="Arial" w:cs="Arial"/>
          <w:sz w:val="22"/>
          <w:szCs w:val="22"/>
        </w:rPr>
      </w:pPr>
      <w:r w:rsidRPr="00FB3565">
        <w:rPr>
          <w:rFonts w:ascii="Arial" w:hAnsi="Arial" w:cs="Arial"/>
          <w:sz w:val="22"/>
          <w:szCs w:val="22"/>
        </w:rPr>
        <w:t xml:space="preserve">Referee #3: bioinformatics, </w:t>
      </w:r>
      <w:proofErr w:type="spellStart"/>
      <w:r w:rsidRPr="00FB3565">
        <w:rPr>
          <w:rFonts w:ascii="Arial" w:hAnsi="Arial" w:cs="Arial"/>
          <w:sz w:val="22"/>
          <w:szCs w:val="22"/>
        </w:rPr>
        <w:t>behavioural</w:t>
      </w:r>
      <w:proofErr w:type="spellEnd"/>
      <w:r w:rsidRPr="00FB3565">
        <w:rPr>
          <w:rFonts w:ascii="Arial" w:hAnsi="Arial" w:cs="Arial"/>
          <w:sz w:val="22"/>
          <w:szCs w:val="22"/>
        </w:rPr>
        <w:t xml:space="preserve"> models</w:t>
      </w:r>
    </w:p>
    <w:p w14:paraId="516B6C0A" w14:textId="77777777" w:rsidR="00200964" w:rsidRPr="00FB3565" w:rsidRDefault="00200964" w:rsidP="00F53D99">
      <w:pPr>
        <w:jc w:val="both"/>
        <w:rPr>
          <w:rFonts w:ascii="Arial" w:hAnsi="Arial" w:cs="Arial"/>
          <w:sz w:val="22"/>
          <w:szCs w:val="22"/>
        </w:rPr>
      </w:pPr>
    </w:p>
    <w:p w14:paraId="211C9B2B" w14:textId="77777777" w:rsidR="00200964" w:rsidRPr="00FB3565" w:rsidRDefault="00200964" w:rsidP="00F53D99">
      <w:pPr>
        <w:jc w:val="both"/>
        <w:rPr>
          <w:rFonts w:ascii="Arial" w:hAnsi="Arial" w:cs="Arial"/>
          <w:sz w:val="22"/>
          <w:szCs w:val="22"/>
        </w:rPr>
      </w:pPr>
    </w:p>
    <w:p w14:paraId="61798ACC" w14:textId="77777777" w:rsidR="00200964" w:rsidRPr="00FB3565" w:rsidRDefault="00200964" w:rsidP="00F53D99">
      <w:pPr>
        <w:jc w:val="both"/>
        <w:rPr>
          <w:rFonts w:ascii="Arial" w:hAnsi="Arial" w:cs="Arial"/>
          <w:sz w:val="22"/>
          <w:szCs w:val="22"/>
        </w:rPr>
      </w:pPr>
    </w:p>
    <w:p w14:paraId="6EFF0BBB" w14:textId="7A0ECCC2" w:rsidR="009519EB" w:rsidRPr="00FB3565" w:rsidRDefault="009519EB" w:rsidP="00F53D99">
      <w:pPr>
        <w:jc w:val="both"/>
        <w:rPr>
          <w:rFonts w:ascii="Arial" w:hAnsi="Arial" w:cs="Arial"/>
          <w:sz w:val="22"/>
          <w:szCs w:val="22"/>
        </w:rPr>
      </w:pPr>
      <w:r w:rsidRPr="00FB3565">
        <w:rPr>
          <w:rFonts w:ascii="Arial" w:hAnsi="Arial" w:cs="Arial"/>
          <w:sz w:val="22"/>
          <w:szCs w:val="22"/>
        </w:rPr>
        <w:t>Reviewer #1 (Remarks to the Author):</w:t>
      </w:r>
    </w:p>
    <w:p w14:paraId="0ECEAD92" w14:textId="34EE7077" w:rsidR="00200964" w:rsidRPr="00FB3565" w:rsidRDefault="009519EB" w:rsidP="00F53D99">
      <w:pPr>
        <w:jc w:val="both"/>
        <w:rPr>
          <w:rFonts w:ascii="Arial" w:hAnsi="Arial" w:cs="Arial"/>
          <w:sz w:val="22"/>
          <w:szCs w:val="22"/>
        </w:rPr>
      </w:pPr>
      <w:r w:rsidRPr="00FB3565">
        <w:rPr>
          <w:rFonts w:ascii="Arial" w:hAnsi="Arial" w:cs="Arial"/>
          <w:sz w:val="22"/>
          <w:szCs w:val="22"/>
        </w:rPr>
        <w:t xml:space="preserve">Miao et al report here RNA- and ATAC-seq profiling of four rat brain regions (nucleus </w:t>
      </w:r>
      <w:proofErr w:type="spellStart"/>
      <w:r w:rsidRPr="00FB3565">
        <w:rPr>
          <w:rFonts w:ascii="Arial" w:hAnsi="Arial" w:cs="Arial"/>
          <w:sz w:val="22"/>
          <w:szCs w:val="22"/>
        </w:rPr>
        <w:t>accumbens</w:t>
      </w:r>
      <w:proofErr w:type="spellEnd"/>
      <w:r w:rsidRPr="00FB3565">
        <w:rPr>
          <w:rFonts w:ascii="Arial" w:hAnsi="Arial" w:cs="Arial"/>
          <w:sz w:val="22"/>
          <w:szCs w:val="22"/>
        </w:rPr>
        <w:t xml:space="preserve">, dentate gyrus, Ammon’s horn, and subventricular zone) following self-administration of a lethal dose of methamphetamine. The authors perform a valuable alignment of rat meth-induced DARs to the human genome, finding that approximately 70% are conserved, supporting the translational relevance of their approach and findings. The data are comprehensive, covering four brain regions. This allows the authors to identify region-specific DEGs and DARs following </w:t>
      </w:r>
      <w:r w:rsidRPr="00FB3565">
        <w:rPr>
          <w:rFonts w:ascii="Arial" w:hAnsi="Arial" w:cs="Arial"/>
          <w:sz w:val="22"/>
          <w:szCs w:val="22"/>
        </w:rPr>
        <w:lastRenderedPageBreak/>
        <w:t>methamphetamine exposure. These comparisons were rigorous, such that Principal component analysis (PCA) of both RNA-seq and ATAC-seq data distinguished the four different rat brain regions. The rationale of this study is sound, the approach is reasonable, and the data are appropriately analyzed and interpreted.</w:t>
      </w:r>
    </w:p>
    <w:p w14:paraId="3A5D50E9" w14:textId="28F5BFA8" w:rsidR="009519EB" w:rsidRPr="00FB3565" w:rsidRDefault="009519EB" w:rsidP="00F53D99">
      <w:pPr>
        <w:jc w:val="both"/>
        <w:rPr>
          <w:rFonts w:ascii="Arial" w:hAnsi="Arial" w:cs="Arial"/>
          <w:sz w:val="22"/>
          <w:szCs w:val="22"/>
        </w:rPr>
      </w:pPr>
    </w:p>
    <w:p w14:paraId="5417398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Minor recommendations are found below and in the attached annotated PDF.</w:t>
      </w:r>
    </w:p>
    <w:p w14:paraId="1A06EF93" w14:textId="77777777" w:rsidR="009519EB" w:rsidRPr="00FB3565" w:rsidRDefault="009519EB" w:rsidP="00F53D99">
      <w:pPr>
        <w:jc w:val="both"/>
        <w:rPr>
          <w:rFonts w:ascii="Arial" w:hAnsi="Arial" w:cs="Arial"/>
          <w:sz w:val="22"/>
          <w:szCs w:val="22"/>
        </w:rPr>
      </w:pPr>
    </w:p>
    <w:p w14:paraId="172193BA"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This reviewer also recommends that the analyses be reviewed by an expert in bioinformatics, and ideally, audited in part by an independent bioinformatician.</w:t>
      </w:r>
    </w:p>
    <w:p w14:paraId="7E2CF852" w14:textId="77777777" w:rsidR="009519EB" w:rsidRPr="00FB3565" w:rsidRDefault="009519EB" w:rsidP="00F53D99">
      <w:pPr>
        <w:jc w:val="both"/>
        <w:rPr>
          <w:rFonts w:ascii="Arial" w:hAnsi="Arial" w:cs="Arial"/>
          <w:sz w:val="22"/>
          <w:szCs w:val="22"/>
        </w:rPr>
      </w:pPr>
    </w:p>
    <w:p w14:paraId="76C64EAB" w14:textId="7E6038E2" w:rsidR="009519EB" w:rsidRPr="00FB3565" w:rsidRDefault="009519EB" w:rsidP="00F53D99">
      <w:pPr>
        <w:jc w:val="both"/>
        <w:rPr>
          <w:rFonts w:ascii="Arial" w:hAnsi="Arial" w:cs="Arial"/>
          <w:sz w:val="22"/>
          <w:szCs w:val="22"/>
        </w:rPr>
      </w:pPr>
      <w:r w:rsidRPr="00FB3565">
        <w:rPr>
          <w:rFonts w:ascii="Arial" w:hAnsi="Arial" w:cs="Arial"/>
          <w:sz w:val="22"/>
          <w:szCs w:val="22"/>
        </w:rPr>
        <w:t>Minor comments:</w:t>
      </w:r>
    </w:p>
    <w:p w14:paraId="53325A2D" w14:textId="02ABEC5C" w:rsidR="009519EB" w:rsidRPr="00FB3565" w:rsidRDefault="009519EB" w:rsidP="00F53D99">
      <w:pPr>
        <w:jc w:val="both"/>
        <w:rPr>
          <w:rFonts w:ascii="Arial" w:hAnsi="Arial" w:cs="Arial"/>
          <w:sz w:val="22"/>
          <w:szCs w:val="22"/>
        </w:rPr>
      </w:pPr>
      <w:bookmarkStart w:id="0" w:name="OLE_LINK40"/>
      <w:bookmarkStart w:id="1" w:name="OLE_LINK41"/>
      <w:r w:rsidRPr="00FB3565">
        <w:rPr>
          <w:rFonts w:ascii="Arial" w:hAnsi="Arial" w:cs="Arial"/>
          <w:sz w:val="22"/>
          <w:szCs w:val="22"/>
        </w:rPr>
        <w:t>- Abstract: The authors state that they “</w:t>
      </w:r>
      <w:bookmarkStart w:id="2" w:name="OLE_LINK11"/>
      <w:bookmarkStart w:id="3" w:name="OLE_LINK12"/>
      <w:bookmarkStart w:id="4" w:name="OLE_LINK13"/>
      <w:bookmarkStart w:id="5" w:name="OLE_LINK24"/>
      <w:r w:rsidRPr="00FB3565">
        <w:rPr>
          <w:rFonts w:ascii="Arial" w:hAnsi="Arial" w:cs="Arial"/>
          <w:sz w:val="22"/>
          <w:szCs w:val="22"/>
        </w:rPr>
        <w:t xml:space="preserve">further explored the </w:t>
      </w:r>
      <w:bookmarkStart w:id="6" w:name="OLE_LINK1"/>
      <w:bookmarkStart w:id="7" w:name="OLE_LINK2"/>
      <w:r w:rsidRPr="00FB3565">
        <w:rPr>
          <w:rFonts w:ascii="Arial" w:hAnsi="Arial" w:cs="Arial"/>
          <w:sz w:val="22"/>
          <w:szCs w:val="22"/>
        </w:rPr>
        <w:t xml:space="preserve">evolutionary conservation </w:t>
      </w:r>
      <w:bookmarkEnd w:id="2"/>
      <w:bookmarkEnd w:id="3"/>
      <w:bookmarkEnd w:id="6"/>
      <w:bookmarkEnd w:id="7"/>
      <w:r w:rsidRPr="00FB3565">
        <w:rPr>
          <w:rFonts w:ascii="Arial" w:hAnsi="Arial" w:cs="Arial"/>
          <w:sz w:val="22"/>
          <w:szCs w:val="22"/>
        </w:rPr>
        <w:t>of DARs in the human and mouse genomes,</w:t>
      </w:r>
      <w:bookmarkEnd w:id="4"/>
      <w:bookmarkEnd w:id="5"/>
      <w:r w:rsidRPr="00FB3565">
        <w:rPr>
          <w:rFonts w:ascii="Arial" w:hAnsi="Arial" w:cs="Arial"/>
          <w:sz w:val="22"/>
          <w:szCs w:val="22"/>
        </w:rPr>
        <w:t>” but I did not find a discussion of evolutionary conservation.</w:t>
      </w:r>
    </w:p>
    <w:p w14:paraId="56187EE2" w14:textId="5529E794" w:rsidR="00886E21" w:rsidRPr="00FB3565" w:rsidRDefault="00886E21" w:rsidP="00F53D99">
      <w:pPr>
        <w:jc w:val="both"/>
        <w:rPr>
          <w:rFonts w:ascii="Arial" w:hAnsi="Arial" w:cs="Arial"/>
          <w:sz w:val="22"/>
          <w:szCs w:val="22"/>
        </w:rPr>
      </w:pPr>
    </w:p>
    <w:p w14:paraId="43A5FB26" w14:textId="4B7D5787" w:rsidR="00FB3565" w:rsidRPr="00FB3565" w:rsidRDefault="00FB3565" w:rsidP="00F53D99">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FB3565">
        <w:rPr>
          <w:rFonts w:ascii="Arial" w:hAnsi="Arial" w:cs="Arial"/>
          <w:color w:val="2E74B5" w:themeColor="accent5" w:themeShade="BF"/>
          <w:sz w:val="22"/>
          <w:szCs w:val="22"/>
        </w:rPr>
        <w:t xml:space="preserve">In the abstract, we summarized findings about evolutionary conservation as this “Approximately 70% of chromatin-accessible regions with METH-induced alterations in the rat brain are conserved at the sequence level in the human genome, and they are highly enriched in neurological processes. Many of these conserved regions are active brain-specific enhancers and harbor SNPs associated with human neurological functions and diseases.”. Then, </w:t>
      </w:r>
      <w:r>
        <w:rPr>
          <w:rFonts w:ascii="Arial" w:hAnsi="Arial" w:cs="Arial"/>
          <w:color w:val="2E74B5" w:themeColor="accent5" w:themeShade="BF"/>
          <w:sz w:val="22"/>
          <w:szCs w:val="22"/>
        </w:rPr>
        <w:t xml:space="preserve">from the </w:t>
      </w:r>
      <w:r w:rsidRPr="00FB3565">
        <w:rPr>
          <w:rFonts w:ascii="Arial" w:hAnsi="Arial" w:cs="Arial"/>
          <w:color w:val="2E74B5" w:themeColor="accent5" w:themeShade="BF"/>
          <w:sz w:val="22"/>
          <w:szCs w:val="22"/>
        </w:rPr>
        <w:t>line 263 to 319</w:t>
      </w:r>
      <w:r>
        <w:rPr>
          <w:rFonts w:ascii="Arial" w:hAnsi="Arial" w:cs="Arial"/>
          <w:color w:val="2E74B5" w:themeColor="accent5" w:themeShade="BF"/>
          <w:sz w:val="22"/>
          <w:szCs w:val="22"/>
        </w:rPr>
        <w:t xml:space="preserve"> of</w:t>
      </w:r>
      <w:r w:rsidRPr="00FB3565">
        <w:rPr>
          <w:rFonts w:ascii="Arial" w:hAnsi="Arial" w:cs="Arial"/>
          <w:color w:val="2E74B5" w:themeColor="accent5" w:themeShade="BF"/>
          <w:sz w:val="22"/>
          <w:szCs w:val="22"/>
        </w:rPr>
        <w:t xml:space="preserve"> manuscript, we displayed the detailed analysis and results about evolutionary conservation of DARs. And we also gave a further discussion about evolutionary conservation from line 412 to 423, talking about the comparative genome analysis to understand the potential function of DARs identified in different brain regions.</w:t>
      </w:r>
    </w:p>
    <w:bookmarkEnd w:id="0"/>
    <w:bookmarkEnd w:id="1"/>
    <w:p w14:paraId="71051E51" w14:textId="77777777" w:rsidR="00886E21" w:rsidRPr="00FB3565" w:rsidRDefault="00886E21" w:rsidP="00F53D99">
      <w:pPr>
        <w:jc w:val="both"/>
        <w:rPr>
          <w:rFonts w:ascii="Arial" w:hAnsi="Arial" w:cs="Arial"/>
          <w:sz w:val="22"/>
          <w:szCs w:val="22"/>
        </w:rPr>
      </w:pPr>
    </w:p>
    <w:p w14:paraId="4DBA5BA5" w14:textId="2C4C670C" w:rsidR="009519EB" w:rsidRPr="00FB3565" w:rsidRDefault="009519EB" w:rsidP="00F53D99">
      <w:pPr>
        <w:jc w:val="both"/>
        <w:rPr>
          <w:rFonts w:ascii="Arial" w:hAnsi="Arial" w:cs="Arial"/>
          <w:sz w:val="22"/>
          <w:szCs w:val="22"/>
        </w:rPr>
      </w:pPr>
      <w:bookmarkStart w:id="8" w:name="OLE_LINK42"/>
      <w:bookmarkStart w:id="9" w:name="OLE_LINK43"/>
      <w:r w:rsidRPr="00FB3565">
        <w:rPr>
          <w:rFonts w:ascii="Arial" w:hAnsi="Arial" w:cs="Arial"/>
          <w:sz w:val="22"/>
          <w:szCs w:val="22"/>
        </w:rPr>
        <w:t xml:space="preserve">- The manuscript includes only limited integration of DEG and DAR findings. For example, authors identify DARs in validated enhancers (see line 263+) but do not report associated gene expression. If enhancer is validated, what is the associated transcript, and does it also appear as a DEG in this </w:t>
      </w:r>
      <w:commentRangeStart w:id="10"/>
      <w:r w:rsidRPr="00FB3565">
        <w:rPr>
          <w:rFonts w:ascii="Arial" w:hAnsi="Arial" w:cs="Arial"/>
          <w:sz w:val="22"/>
          <w:szCs w:val="22"/>
        </w:rPr>
        <w:t>dataset</w:t>
      </w:r>
      <w:commentRangeEnd w:id="10"/>
      <w:r w:rsidR="00B17256" w:rsidRPr="00FB3565">
        <w:rPr>
          <w:rStyle w:val="CommentReference"/>
          <w:rFonts w:ascii="Arial" w:hAnsi="Arial" w:cs="Arial"/>
          <w:sz w:val="22"/>
          <w:szCs w:val="22"/>
        </w:rPr>
        <w:commentReference w:id="10"/>
      </w:r>
      <w:r w:rsidRPr="00FB3565">
        <w:rPr>
          <w:rFonts w:ascii="Arial" w:hAnsi="Arial" w:cs="Arial"/>
          <w:sz w:val="22"/>
          <w:szCs w:val="22"/>
        </w:rPr>
        <w:t xml:space="preserve">? </w:t>
      </w:r>
      <w:proofErr w:type="spellStart"/>
      <w:r w:rsidRPr="00FB3565">
        <w:rPr>
          <w:rFonts w:ascii="Arial" w:hAnsi="Arial" w:cs="Arial"/>
          <w:sz w:val="22"/>
          <w:szCs w:val="22"/>
        </w:rPr>
        <w:t>eg</w:t>
      </w:r>
      <w:proofErr w:type="spellEnd"/>
      <w:r w:rsidRPr="00FB3565">
        <w:rPr>
          <w:rFonts w:ascii="Arial" w:hAnsi="Arial" w:cs="Arial"/>
          <w:sz w:val="22"/>
          <w:szCs w:val="22"/>
        </w:rPr>
        <w:t xml:space="preserve"> </w:t>
      </w:r>
      <w:commentRangeStart w:id="11"/>
      <w:proofErr w:type="spellStart"/>
      <w:r w:rsidRPr="00FB3565">
        <w:rPr>
          <w:rFonts w:ascii="Arial" w:hAnsi="Arial" w:cs="Arial"/>
          <w:sz w:val="22"/>
          <w:szCs w:val="22"/>
        </w:rPr>
        <w:t>Shtn</w:t>
      </w:r>
      <w:proofErr w:type="spellEnd"/>
      <w:r w:rsidRPr="00FB3565">
        <w:rPr>
          <w:rFonts w:ascii="Arial" w:hAnsi="Arial" w:cs="Arial"/>
          <w:sz w:val="22"/>
          <w:szCs w:val="22"/>
        </w:rPr>
        <w:t>, Mctp1</w:t>
      </w:r>
      <w:r w:rsidR="006E18E0" w:rsidRPr="00FB3565">
        <w:rPr>
          <w:rFonts w:ascii="Arial" w:hAnsi="Arial" w:cs="Arial"/>
          <w:sz w:val="22"/>
          <w:szCs w:val="22"/>
        </w:rPr>
        <w:t xml:space="preserve"> </w:t>
      </w:r>
      <w:commentRangeEnd w:id="11"/>
      <w:r w:rsidR="003D375F" w:rsidRPr="00FB3565">
        <w:rPr>
          <w:rStyle w:val="CommentReference"/>
          <w:rFonts w:ascii="Arial" w:hAnsi="Arial" w:cs="Arial"/>
          <w:sz w:val="22"/>
          <w:szCs w:val="22"/>
        </w:rPr>
        <w:commentReference w:id="11"/>
      </w:r>
    </w:p>
    <w:bookmarkEnd w:id="8"/>
    <w:bookmarkEnd w:id="9"/>
    <w:p w14:paraId="673BBE48" w14:textId="108FB7DF" w:rsidR="001C4AC5" w:rsidRPr="00FB3565" w:rsidRDefault="001C4AC5" w:rsidP="00F53D99">
      <w:pPr>
        <w:jc w:val="both"/>
        <w:rPr>
          <w:rFonts w:ascii="Arial" w:hAnsi="Arial" w:cs="Arial"/>
          <w:sz w:val="22"/>
          <w:szCs w:val="22"/>
        </w:rPr>
      </w:pPr>
    </w:p>
    <w:p w14:paraId="62A4B0BA" w14:textId="5DD9F6E1" w:rsidR="001C4AC5" w:rsidRDefault="00F00DA4" w:rsidP="00F53D99">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From VISTA enhancer browser database, </w:t>
      </w:r>
      <w:r w:rsidR="00E81077">
        <w:rPr>
          <w:rFonts w:ascii="Arial" w:hAnsi="Arial" w:cs="Arial"/>
          <w:color w:val="2E74B5" w:themeColor="accent5" w:themeShade="BF"/>
          <w:sz w:val="22"/>
          <w:szCs w:val="22"/>
        </w:rPr>
        <w:t>bracketing genes</w:t>
      </w:r>
      <w:r w:rsidR="0069618E">
        <w:rPr>
          <w:rFonts w:ascii="Arial" w:hAnsi="Arial" w:cs="Arial"/>
          <w:color w:val="2E74B5" w:themeColor="accent5" w:themeShade="BF"/>
          <w:sz w:val="22"/>
          <w:szCs w:val="22"/>
        </w:rPr>
        <w:t xml:space="preserve"> of validated </w:t>
      </w:r>
      <w:proofErr w:type="spellStart"/>
      <w:r w:rsidR="0069618E">
        <w:rPr>
          <w:rFonts w:ascii="Arial" w:hAnsi="Arial" w:cs="Arial"/>
          <w:color w:val="2E74B5" w:themeColor="accent5" w:themeShade="BF"/>
          <w:sz w:val="22"/>
          <w:szCs w:val="22"/>
        </w:rPr>
        <w:t>enahcner</w:t>
      </w:r>
      <w:proofErr w:type="spellEnd"/>
      <w:r w:rsidR="00E81077">
        <w:rPr>
          <w:rFonts w:ascii="Arial" w:hAnsi="Arial" w:cs="Arial"/>
          <w:color w:val="2E74B5" w:themeColor="accent5" w:themeShade="BF"/>
          <w:sz w:val="22"/>
          <w:szCs w:val="22"/>
        </w:rPr>
        <w:t xml:space="preserve"> were used as associated genes of enhancer</w:t>
      </w:r>
      <w:r w:rsidR="000402E4">
        <w:rPr>
          <w:rFonts w:ascii="Arial" w:hAnsi="Arial" w:cs="Arial"/>
          <w:color w:val="2E74B5" w:themeColor="accent5" w:themeShade="BF"/>
          <w:sz w:val="22"/>
          <w:szCs w:val="22"/>
        </w:rPr>
        <w:t xml:space="preserve"> DARs</w:t>
      </w:r>
      <w:r w:rsidR="00E81077">
        <w:rPr>
          <w:rFonts w:ascii="Arial" w:hAnsi="Arial" w:cs="Arial"/>
          <w:color w:val="2E74B5" w:themeColor="accent5" w:themeShade="BF"/>
          <w:sz w:val="22"/>
          <w:szCs w:val="22"/>
        </w:rPr>
        <w:t xml:space="preserve">. Then, we checked </w:t>
      </w:r>
      <w:r w:rsidR="00885362">
        <w:rPr>
          <w:rFonts w:ascii="Arial" w:hAnsi="Arial" w:cs="Arial"/>
          <w:color w:val="2E74B5" w:themeColor="accent5" w:themeShade="BF"/>
          <w:sz w:val="22"/>
          <w:szCs w:val="22"/>
        </w:rPr>
        <w:t>the distribution of log2-foldchange</w:t>
      </w:r>
      <w:r w:rsidR="00202906">
        <w:rPr>
          <w:rFonts w:ascii="Arial" w:hAnsi="Arial" w:cs="Arial"/>
          <w:color w:val="2E74B5" w:themeColor="accent5" w:themeShade="BF"/>
          <w:sz w:val="22"/>
          <w:szCs w:val="22"/>
        </w:rPr>
        <w:t xml:space="preserve"> responding to M</w:t>
      </w:r>
      <w:r w:rsidR="0069618E">
        <w:rPr>
          <w:rFonts w:ascii="Arial" w:hAnsi="Arial" w:cs="Arial"/>
          <w:color w:val="2E74B5" w:themeColor="accent5" w:themeShade="BF"/>
          <w:sz w:val="22"/>
          <w:szCs w:val="22"/>
        </w:rPr>
        <w:t>ETH</w:t>
      </w:r>
      <w:r w:rsidR="00202906">
        <w:rPr>
          <w:rFonts w:ascii="Arial" w:hAnsi="Arial" w:cs="Arial"/>
          <w:color w:val="2E74B5" w:themeColor="accent5" w:themeShade="BF"/>
          <w:sz w:val="22"/>
          <w:szCs w:val="22"/>
        </w:rPr>
        <w:t xml:space="preserve"> exposure</w:t>
      </w:r>
      <w:r w:rsidR="00885362">
        <w:rPr>
          <w:rFonts w:ascii="Arial" w:hAnsi="Arial" w:cs="Arial"/>
          <w:color w:val="2E74B5" w:themeColor="accent5" w:themeShade="BF"/>
          <w:sz w:val="22"/>
          <w:szCs w:val="22"/>
        </w:rPr>
        <w:t xml:space="preserve"> </w:t>
      </w:r>
      <w:r w:rsidR="00E81077">
        <w:rPr>
          <w:rFonts w:ascii="Arial" w:hAnsi="Arial" w:cs="Arial"/>
          <w:color w:val="2E74B5" w:themeColor="accent5" w:themeShade="BF"/>
          <w:sz w:val="22"/>
          <w:szCs w:val="22"/>
        </w:rPr>
        <w:t>between enhancer DARs and those associated genes</w:t>
      </w:r>
      <w:r w:rsidR="0069618E">
        <w:rPr>
          <w:rFonts w:ascii="Arial" w:hAnsi="Arial" w:cs="Arial"/>
          <w:color w:val="2E74B5" w:themeColor="accent5" w:themeShade="BF"/>
          <w:sz w:val="22"/>
          <w:szCs w:val="22"/>
        </w:rPr>
        <w:t xml:space="preserve">. </w:t>
      </w:r>
    </w:p>
    <w:p w14:paraId="0DE105FC" w14:textId="77777777" w:rsidR="00D767D5" w:rsidRDefault="00D767D5" w:rsidP="00F53D99">
      <w:pPr>
        <w:jc w:val="both"/>
        <w:rPr>
          <w:rFonts w:ascii="Arial" w:hAnsi="Arial" w:cs="Arial"/>
          <w:sz w:val="22"/>
          <w:szCs w:val="22"/>
        </w:rPr>
      </w:pPr>
    </w:p>
    <w:p w14:paraId="19973AD3" w14:textId="13EEE629" w:rsidR="0069618E" w:rsidRDefault="00885362" w:rsidP="00C97919">
      <w:pPr>
        <w:jc w:val="center"/>
        <w:rPr>
          <w:rFonts w:ascii="Arial" w:hAnsi="Arial" w:cs="Arial"/>
          <w:sz w:val="22"/>
          <w:szCs w:val="22"/>
        </w:rPr>
      </w:pPr>
      <w:r w:rsidRPr="00885362">
        <w:rPr>
          <w:rFonts w:ascii="Arial" w:hAnsi="Arial" w:cs="Arial"/>
          <w:noProof/>
          <w:sz w:val="22"/>
          <w:szCs w:val="22"/>
        </w:rPr>
        <w:drawing>
          <wp:inline distT="0" distB="0" distL="0" distR="0" wp14:anchorId="210BCBCD" wp14:editId="480A19B0">
            <wp:extent cx="3209746" cy="2773428"/>
            <wp:effectExtent l="0" t="0" r="3810" b="0"/>
            <wp:docPr id="3" name="Picture 2">
              <a:extLst xmlns:a="http://schemas.openxmlformats.org/drawingml/2006/main">
                <a:ext uri="{FF2B5EF4-FFF2-40B4-BE49-F238E27FC236}">
                  <a16:creationId xmlns:a16="http://schemas.microsoft.com/office/drawing/2014/main" id="{A21C15D3-07CE-D14C-B0DF-B1ACBB81FC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21C15D3-07CE-D14C-B0DF-B1ACBB81FC98}"/>
                        </a:ext>
                      </a:extLst>
                    </pic:cNvPr>
                    <pic:cNvPicPr>
                      <a:picLocks noChangeAspect="1"/>
                    </pic:cNvPicPr>
                  </pic:nvPicPr>
                  <pic:blipFill>
                    <a:blip r:embed="rId10"/>
                    <a:stretch>
                      <a:fillRect/>
                    </a:stretch>
                  </pic:blipFill>
                  <pic:spPr>
                    <a:xfrm>
                      <a:off x="0" y="0"/>
                      <a:ext cx="3304468" cy="2855274"/>
                    </a:xfrm>
                    <a:prstGeom prst="rect">
                      <a:avLst/>
                    </a:prstGeom>
                  </pic:spPr>
                </pic:pic>
              </a:graphicData>
            </a:graphic>
          </wp:inline>
        </w:drawing>
      </w:r>
    </w:p>
    <w:p w14:paraId="4F006971" w14:textId="77777777" w:rsidR="00D767D5" w:rsidRDefault="00D767D5" w:rsidP="00C97919">
      <w:pPr>
        <w:jc w:val="center"/>
        <w:rPr>
          <w:rFonts w:ascii="Arial" w:hAnsi="Arial" w:cs="Arial"/>
          <w:sz w:val="22"/>
          <w:szCs w:val="22"/>
        </w:rPr>
      </w:pPr>
    </w:p>
    <w:p w14:paraId="32ED1296" w14:textId="67E035A1" w:rsidR="009A0A77" w:rsidRDefault="00FA7CD6" w:rsidP="00F53D99">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Not all, but </w:t>
      </w:r>
      <w:r w:rsidR="000402E4" w:rsidRPr="000402E4">
        <w:rPr>
          <w:rFonts w:ascii="Arial" w:hAnsi="Arial" w:cs="Arial"/>
          <w:color w:val="2E74B5" w:themeColor="accent5" w:themeShade="BF"/>
          <w:sz w:val="22"/>
          <w:szCs w:val="22"/>
        </w:rPr>
        <w:t xml:space="preserve">some </w:t>
      </w:r>
      <w:r w:rsidR="000402E4">
        <w:rPr>
          <w:rFonts w:ascii="Arial" w:hAnsi="Arial" w:cs="Arial"/>
          <w:color w:val="2E74B5" w:themeColor="accent5" w:themeShade="BF"/>
          <w:sz w:val="22"/>
          <w:szCs w:val="22"/>
        </w:rPr>
        <w:t xml:space="preserve">enhancer DARs associated genes </w:t>
      </w:r>
      <w:r>
        <w:rPr>
          <w:rFonts w:ascii="Arial" w:hAnsi="Arial" w:cs="Arial"/>
          <w:color w:val="2E74B5" w:themeColor="accent5" w:themeShade="BF"/>
          <w:sz w:val="22"/>
          <w:szCs w:val="22"/>
        </w:rPr>
        <w:t xml:space="preserve">significantly affected by METH exposure and well matched the </w:t>
      </w:r>
      <w:r w:rsidR="000402E4">
        <w:rPr>
          <w:rFonts w:ascii="Arial" w:hAnsi="Arial" w:cs="Arial"/>
          <w:color w:val="2E74B5" w:themeColor="accent5" w:themeShade="BF"/>
          <w:sz w:val="22"/>
          <w:szCs w:val="22"/>
        </w:rPr>
        <w:t xml:space="preserve">regulation pattern </w:t>
      </w:r>
      <w:r>
        <w:rPr>
          <w:rFonts w:ascii="Arial" w:hAnsi="Arial" w:cs="Arial"/>
          <w:color w:val="2E74B5" w:themeColor="accent5" w:themeShade="BF"/>
          <w:sz w:val="22"/>
          <w:szCs w:val="22"/>
        </w:rPr>
        <w:t>of those DARs</w:t>
      </w:r>
      <w:r w:rsidR="009A0A77">
        <w:rPr>
          <w:rFonts w:ascii="Arial" w:hAnsi="Arial" w:cs="Arial"/>
          <w:color w:val="2E74B5" w:themeColor="accent5" w:themeShade="BF"/>
          <w:sz w:val="22"/>
          <w:szCs w:val="22"/>
        </w:rPr>
        <w:t xml:space="preserve">. Although here the expression </w:t>
      </w:r>
      <w:proofErr w:type="gramStart"/>
      <w:r w:rsidR="009A0A77">
        <w:rPr>
          <w:rFonts w:ascii="Arial" w:hAnsi="Arial" w:cs="Arial"/>
          <w:color w:val="2E74B5" w:themeColor="accent5" w:themeShade="BF"/>
          <w:sz w:val="22"/>
          <w:szCs w:val="22"/>
        </w:rPr>
        <w:t xml:space="preserve">of  </w:t>
      </w:r>
      <w:proofErr w:type="spellStart"/>
      <w:r w:rsidR="009A0A77" w:rsidRPr="009A0A77">
        <w:rPr>
          <w:rFonts w:ascii="Arial" w:hAnsi="Arial" w:cs="Arial"/>
          <w:color w:val="2E74B5" w:themeColor="accent5" w:themeShade="BF"/>
          <w:sz w:val="22"/>
          <w:szCs w:val="22"/>
        </w:rPr>
        <w:t>Shtn</w:t>
      </w:r>
      <w:proofErr w:type="spellEnd"/>
      <w:proofErr w:type="gramEnd"/>
      <w:r w:rsidR="009A0A77">
        <w:rPr>
          <w:rFonts w:ascii="Arial" w:hAnsi="Arial" w:cs="Arial"/>
          <w:color w:val="2E74B5" w:themeColor="accent5" w:themeShade="BF"/>
          <w:sz w:val="22"/>
          <w:szCs w:val="22"/>
        </w:rPr>
        <w:t xml:space="preserve"> and</w:t>
      </w:r>
      <w:r w:rsidR="009A0A77" w:rsidRPr="009A0A77">
        <w:rPr>
          <w:rFonts w:ascii="Arial" w:hAnsi="Arial" w:cs="Arial"/>
          <w:color w:val="2E74B5" w:themeColor="accent5" w:themeShade="BF"/>
          <w:sz w:val="22"/>
          <w:szCs w:val="22"/>
        </w:rPr>
        <w:t xml:space="preserve"> Mctp1</w:t>
      </w:r>
      <w:r w:rsidR="009A0A77">
        <w:rPr>
          <w:rFonts w:ascii="Arial" w:hAnsi="Arial" w:cs="Arial"/>
          <w:color w:val="2E74B5" w:themeColor="accent5" w:themeShade="BF"/>
          <w:sz w:val="22"/>
          <w:szCs w:val="22"/>
        </w:rPr>
        <w:t xml:space="preserve"> gene were not associated with regulation pattern of enhancer DARs, we showed another two example of enhancer DARs that had same regulation trend with associated genes, St18 and Sdk2 genes.</w:t>
      </w:r>
    </w:p>
    <w:p w14:paraId="3E84359B" w14:textId="5FCAC035" w:rsidR="00C97919" w:rsidRDefault="001C1B8A" w:rsidP="00C97919">
      <w:pPr>
        <w:jc w:val="center"/>
        <w:rPr>
          <w:rFonts w:ascii="Arial" w:hAnsi="Arial" w:cs="Arial"/>
          <w:color w:val="2E74B5" w:themeColor="accent5" w:themeShade="BF"/>
          <w:sz w:val="22"/>
          <w:szCs w:val="22"/>
        </w:rPr>
      </w:pPr>
      <w:r w:rsidRPr="001C1B8A">
        <w:rPr>
          <w:rFonts w:ascii="Arial" w:hAnsi="Arial" w:cs="Arial"/>
          <w:color w:val="2E74B5" w:themeColor="accent5" w:themeShade="BF"/>
          <w:sz w:val="22"/>
          <w:szCs w:val="22"/>
        </w:rPr>
        <w:drawing>
          <wp:inline distT="0" distB="0" distL="0" distR="0" wp14:anchorId="003C9AFB" wp14:editId="05B9C30F">
            <wp:extent cx="3393080" cy="3728301"/>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12981" cy="3750168"/>
                    </a:xfrm>
                    <a:prstGeom prst="rect">
                      <a:avLst/>
                    </a:prstGeom>
                  </pic:spPr>
                </pic:pic>
              </a:graphicData>
            </a:graphic>
          </wp:inline>
        </w:drawing>
      </w:r>
    </w:p>
    <w:p w14:paraId="3E9E6270" w14:textId="77777777" w:rsidR="00D767D5" w:rsidRPr="000402E4" w:rsidRDefault="00D767D5" w:rsidP="00C97919">
      <w:pPr>
        <w:jc w:val="center"/>
        <w:rPr>
          <w:rFonts w:ascii="Arial" w:hAnsi="Arial" w:cs="Arial"/>
          <w:color w:val="2E74B5" w:themeColor="accent5" w:themeShade="BF"/>
          <w:sz w:val="22"/>
          <w:szCs w:val="22"/>
        </w:rPr>
      </w:pPr>
    </w:p>
    <w:p w14:paraId="015AA6FB" w14:textId="79CA051C" w:rsidR="009519EB" w:rsidRPr="00FB3565" w:rsidRDefault="009519EB" w:rsidP="00F53D99">
      <w:pPr>
        <w:jc w:val="both"/>
        <w:rPr>
          <w:rFonts w:ascii="Arial" w:hAnsi="Arial" w:cs="Arial"/>
          <w:sz w:val="22"/>
          <w:szCs w:val="22"/>
        </w:rPr>
      </w:pPr>
      <w:r w:rsidRPr="00FB3565">
        <w:rPr>
          <w:rFonts w:ascii="Arial" w:hAnsi="Arial" w:cs="Arial"/>
          <w:sz w:val="22"/>
          <w:szCs w:val="22"/>
        </w:rPr>
        <w:t xml:space="preserve">- The manuscript describes the ATAC-seq data using qualitative language, such as ‘open/closed region’ or ‘more/less accessible’ (line 327). These terms require quantification, </w:t>
      </w:r>
      <w:proofErr w:type="spellStart"/>
      <w:r w:rsidRPr="00FB3565">
        <w:rPr>
          <w:rFonts w:ascii="Arial" w:hAnsi="Arial" w:cs="Arial"/>
          <w:sz w:val="22"/>
          <w:szCs w:val="22"/>
        </w:rPr>
        <w:t>ie</w:t>
      </w:r>
      <w:proofErr w:type="spellEnd"/>
      <w:r w:rsidRPr="00FB3565">
        <w:rPr>
          <w:rFonts w:ascii="Arial" w:hAnsi="Arial" w:cs="Arial"/>
          <w:sz w:val="22"/>
          <w:szCs w:val="22"/>
        </w:rPr>
        <w:t xml:space="preserve"> thresholds. As identification of a DAR does not indicate that a region has gone from closed to open, rather that the region has become ‘more’ open, or more accessible to DNA cleavage, the authors may wish to remove the term ‘open/closed’ from the manuscript for accuracy.</w:t>
      </w:r>
    </w:p>
    <w:p w14:paraId="563300AD" w14:textId="7DADD046" w:rsidR="0047169F" w:rsidRPr="00FB3565" w:rsidRDefault="0047169F" w:rsidP="00F53D99">
      <w:pPr>
        <w:jc w:val="both"/>
        <w:rPr>
          <w:rFonts w:ascii="Arial" w:hAnsi="Arial" w:cs="Arial"/>
          <w:sz w:val="22"/>
          <w:szCs w:val="22"/>
        </w:rPr>
      </w:pPr>
    </w:p>
    <w:p w14:paraId="370976BC" w14:textId="4B6C3697" w:rsidR="0047169F" w:rsidRPr="00FB3565" w:rsidRDefault="00CB014E" w:rsidP="00F53D99">
      <w:pPr>
        <w:jc w:val="both"/>
        <w:rPr>
          <w:rFonts w:ascii="Arial" w:hAnsi="Arial" w:cs="Arial"/>
          <w:sz w:val="22"/>
          <w:szCs w:val="22"/>
        </w:rPr>
      </w:pPr>
      <w:bookmarkStart w:id="12" w:name="OLE_LINK55"/>
      <w:bookmarkStart w:id="13" w:name="OLE_LINK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FB3565">
        <w:rPr>
          <w:rFonts w:ascii="Arial" w:hAnsi="Arial" w:cs="Arial"/>
          <w:color w:val="2E74B5" w:themeColor="accent5" w:themeShade="BF"/>
          <w:sz w:val="22"/>
          <w:szCs w:val="22"/>
        </w:rPr>
        <w:t xml:space="preserve">In the </w:t>
      </w:r>
      <w:r>
        <w:rPr>
          <w:rFonts w:ascii="Arial" w:hAnsi="Arial" w:cs="Arial"/>
          <w:color w:val="2E74B5" w:themeColor="accent5" w:themeShade="BF"/>
          <w:sz w:val="22"/>
          <w:szCs w:val="22"/>
        </w:rPr>
        <w:t>manuscript</w:t>
      </w:r>
      <w:bookmarkEnd w:id="12"/>
      <w:bookmarkEnd w:id="13"/>
      <w:r>
        <w:rPr>
          <w:rFonts w:ascii="Arial" w:hAnsi="Arial" w:cs="Arial"/>
          <w:color w:val="2E74B5" w:themeColor="accent5" w:themeShade="BF"/>
          <w:sz w:val="22"/>
          <w:szCs w:val="22"/>
        </w:rPr>
        <w:t xml:space="preserve">, </w:t>
      </w:r>
      <w:r w:rsidRPr="00CB014E">
        <w:rPr>
          <w:rFonts w:ascii="Arial" w:hAnsi="Arial" w:cs="Arial"/>
          <w:color w:val="2E74B5" w:themeColor="accent5" w:themeShade="BF"/>
          <w:sz w:val="22"/>
          <w:szCs w:val="22"/>
        </w:rPr>
        <w:t>we modified the term ‘open/closed’ to ‘more/less accessible to DNA cleavage’.</w:t>
      </w:r>
    </w:p>
    <w:p w14:paraId="0475AE0A" w14:textId="77777777" w:rsidR="00FB25A4" w:rsidRPr="00FB3565" w:rsidRDefault="00FB25A4" w:rsidP="00F53D99">
      <w:pPr>
        <w:jc w:val="both"/>
        <w:rPr>
          <w:rFonts w:ascii="Arial" w:hAnsi="Arial" w:cs="Arial"/>
          <w:sz w:val="22"/>
          <w:szCs w:val="22"/>
        </w:rPr>
      </w:pPr>
    </w:p>
    <w:p w14:paraId="0DC49D17" w14:textId="786E52E6" w:rsidR="009519EB" w:rsidRDefault="009519EB" w:rsidP="00F53D99">
      <w:pPr>
        <w:jc w:val="both"/>
        <w:rPr>
          <w:rFonts w:ascii="Arial" w:hAnsi="Arial" w:cs="Arial"/>
          <w:sz w:val="22"/>
          <w:szCs w:val="22"/>
        </w:rPr>
      </w:pPr>
      <w:r w:rsidRPr="00FB3565">
        <w:rPr>
          <w:rFonts w:ascii="Arial" w:hAnsi="Arial" w:cs="Arial"/>
          <w:sz w:val="22"/>
          <w:szCs w:val="22"/>
        </w:rPr>
        <w:t xml:space="preserve">- The gene network and PPI analyses are valuable but appear to be performed on </w:t>
      </w:r>
      <w:proofErr w:type="spellStart"/>
      <w:r w:rsidRPr="00FB3565">
        <w:rPr>
          <w:rFonts w:ascii="Arial" w:hAnsi="Arial" w:cs="Arial"/>
          <w:sz w:val="22"/>
          <w:szCs w:val="22"/>
        </w:rPr>
        <w:t>NAc</w:t>
      </w:r>
      <w:proofErr w:type="spellEnd"/>
      <w:r w:rsidRPr="00FB3565">
        <w:rPr>
          <w:rFonts w:ascii="Arial" w:hAnsi="Arial" w:cs="Arial"/>
          <w:sz w:val="22"/>
          <w:szCs w:val="22"/>
        </w:rPr>
        <w:t xml:space="preserve"> data only. Can authors complete this analysis for the other brain regions? Or justify the limitations of the analyses/data?</w:t>
      </w:r>
    </w:p>
    <w:p w14:paraId="3B6F3F36" w14:textId="582237C8" w:rsidR="00FF7898" w:rsidRDefault="00FF7898" w:rsidP="00F53D99">
      <w:pPr>
        <w:jc w:val="both"/>
        <w:rPr>
          <w:rFonts w:ascii="Arial" w:hAnsi="Arial" w:cs="Arial"/>
          <w:sz w:val="22"/>
          <w:szCs w:val="22"/>
        </w:rPr>
      </w:pPr>
    </w:p>
    <w:p w14:paraId="03298AEE" w14:textId="3BAFB075" w:rsidR="00154070" w:rsidRDefault="00FF7898" w:rsidP="00F53D99">
      <w:pPr>
        <w:jc w:val="both"/>
        <w:rPr>
          <w:rFonts w:ascii="Arial" w:hAnsi="Arial" w:cs="Arial"/>
          <w:color w:val="2E74B5" w:themeColor="accent5" w:themeShade="BF"/>
          <w:sz w:val="22"/>
          <w:szCs w:val="22"/>
        </w:rPr>
      </w:pPr>
      <w:bookmarkStart w:id="14" w:name="OLE_LINK155"/>
      <w:bookmarkStart w:id="15" w:name="OLE_LINK1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7A5276">
        <w:rPr>
          <w:rFonts w:ascii="Arial" w:hAnsi="Arial" w:cs="Arial"/>
          <w:color w:val="2E74B5" w:themeColor="accent5" w:themeShade="BF"/>
          <w:sz w:val="22"/>
          <w:szCs w:val="22"/>
        </w:rPr>
        <w:t xml:space="preserve">The </w:t>
      </w:r>
      <w:bookmarkEnd w:id="14"/>
      <w:bookmarkEnd w:id="15"/>
      <w:r w:rsidR="007A5276">
        <w:rPr>
          <w:rFonts w:ascii="Arial" w:hAnsi="Arial" w:cs="Arial"/>
          <w:color w:val="2E74B5" w:themeColor="accent5" w:themeShade="BF"/>
          <w:sz w:val="22"/>
          <w:szCs w:val="22"/>
        </w:rPr>
        <w:t xml:space="preserve">figure 5 not only performed the gene network analyses on </w:t>
      </w:r>
      <w:proofErr w:type="spellStart"/>
      <w:r w:rsidR="007A5276">
        <w:rPr>
          <w:rFonts w:ascii="Arial" w:hAnsi="Arial" w:cs="Arial"/>
          <w:color w:val="2E74B5" w:themeColor="accent5" w:themeShade="BF"/>
          <w:sz w:val="22"/>
          <w:szCs w:val="22"/>
        </w:rPr>
        <w:t>NAc</w:t>
      </w:r>
      <w:proofErr w:type="spellEnd"/>
      <w:r w:rsidR="007A5276">
        <w:rPr>
          <w:rFonts w:ascii="Arial" w:hAnsi="Arial" w:cs="Arial"/>
          <w:color w:val="2E74B5" w:themeColor="accent5" w:themeShade="BF"/>
          <w:sz w:val="22"/>
          <w:szCs w:val="22"/>
        </w:rPr>
        <w:t xml:space="preserve"> region (Fig. 5b) but also separately displayed </w:t>
      </w:r>
      <w:r w:rsidR="007A5276" w:rsidRPr="007A5276">
        <w:rPr>
          <w:rFonts w:ascii="Arial" w:hAnsi="Arial" w:cs="Arial"/>
          <w:color w:val="2E74B5" w:themeColor="accent5" w:themeShade="BF"/>
          <w:sz w:val="22"/>
          <w:szCs w:val="22"/>
        </w:rPr>
        <w:t xml:space="preserve">the </w:t>
      </w:r>
      <w:proofErr w:type="spellStart"/>
      <w:r w:rsidR="007A5276" w:rsidRPr="007A5276">
        <w:rPr>
          <w:rFonts w:ascii="Arial" w:hAnsi="Arial" w:cs="Arial"/>
          <w:color w:val="2E74B5" w:themeColor="accent5" w:themeShade="BF"/>
          <w:sz w:val="22"/>
          <w:szCs w:val="22"/>
        </w:rPr>
        <w:t>Egr</w:t>
      </w:r>
      <w:proofErr w:type="spellEnd"/>
      <w:r w:rsidR="007A5276" w:rsidRPr="007A5276">
        <w:rPr>
          <w:rFonts w:ascii="Arial" w:hAnsi="Arial" w:cs="Arial"/>
          <w:color w:val="2E74B5" w:themeColor="accent5" w:themeShade="BF"/>
          <w:sz w:val="22"/>
          <w:szCs w:val="22"/>
        </w:rPr>
        <w:t xml:space="preserve"> and Sox associated gene networks for DG region</w:t>
      </w:r>
      <w:r w:rsidR="007A5276">
        <w:rPr>
          <w:rFonts w:ascii="Arial" w:hAnsi="Arial" w:cs="Arial"/>
          <w:color w:val="2E74B5" w:themeColor="accent5" w:themeShade="BF"/>
          <w:sz w:val="22"/>
          <w:szCs w:val="22"/>
        </w:rPr>
        <w:t xml:space="preserve"> (Fig. 5f and g)</w:t>
      </w:r>
      <w:r w:rsidR="007A5276" w:rsidRPr="007A5276">
        <w:rPr>
          <w:rFonts w:ascii="Arial" w:hAnsi="Arial" w:cs="Arial"/>
          <w:color w:val="2E74B5" w:themeColor="accent5" w:themeShade="BF"/>
          <w:sz w:val="22"/>
          <w:szCs w:val="22"/>
        </w:rPr>
        <w:t>.</w:t>
      </w:r>
      <w:r w:rsidR="007A5276">
        <w:rPr>
          <w:rFonts w:ascii="Arial" w:hAnsi="Arial" w:cs="Arial"/>
          <w:color w:val="2E74B5" w:themeColor="accent5" w:themeShade="BF"/>
          <w:sz w:val="22"/>
          <w:szCs w:val="22"/>
        </w:rPr>
        <w:t xml:space="preserve"> </w:t>
      </w:r>
      <w:r w:rsidR="00B42901">
        <w:rPr>
          <w:rFonts w:ascii="Arial" w:hAnsi="Arial" w:cs="Arial"/>
          <w:color w:val="2E74B5" w:themeColor="accent5" w:themeShade="BF"/>
          <w:sz w:val="22"/>
          <w:szCs w:val="22"/>
        </w:rPr>
        <w:t xml:space="preserve">Meanwhile, </w:t>
      </w:r>
      <w:r w:rsidR="00947952">
        <w:rPr>
          <w:rFonts w:ascii="Arial" w:hAnsi="Arial" w:cs="Arial"/>
          <w:color w:val="2E74B5" w:themeColor="accent5" w:themeShade="BF"/>
          <w:sz w:val="22"/>
          <w:szCs w:val="22"/>
        </w:rPr>
        <w:t xml:space="preserve">we updated the supplementary Fig. 5 that showed </w:t>
      </w:r>
      <w:proofErr w:type="spellStart"/>
      <w:r w:rsidR="00947952" w:rsidRPr="00947952">
        <w:rPr>
          <w:rFonts w:ascii="Arial" w:hAnsi="Arial" w:cs="Arial"/>
          <w:color w:val="2E74B5" w:themeColor="accent5" w:themeShade="BF"/>
          <w:sz w:val="22"/>
          <w:szCs w:val="22"/>
        </w:rPr>
        <w:t>bHLH</w:t>
      </w:r>
      <w:proofErr w:type="spellEnd"/>
      <w:r w:rsidR="00947952" w:rsidRPr="00947952">
        <w:rPr>
          <w:rFonts w:ascii="Arial" w:hAnsi="Arial" w:cs="Arial"/>
          <w:color w:val="2E74B5" w:themeColor="accent5" w:themeShade="BF"/>
          <w:sz w:val="22"/>
          <w:szCs w:val="22"/>
        </w:rPr>
        <w:t xml:space="preserve"> motif associated gene networks </w:t>
      </w:r>
      <w:r w:rsidR="00947952">
        <w:rPr>
          <w:rFonts w:ascii="Arial" w:hAnsi="Arial" w:cs="Arial"/>
          <w:color w:val="2E74B5" w:themeColor="accent5" w:themeShade="BF"/>
          <w:sz w:val="22"/>
          <w:szCs w:val="22"/>
        </w:rPr>
        <w:t>in</w:t>
      </w:r>
      <w:r w:rsidR="00947952" w:rsidRPr="00947952">
        <w:rPr>
          <w:rFonts w:ascii="Arial" w:hAnsi="Arial" w:cs="Arial"/>
          <w:color w:val="2E74B5" w:themeColor="accent5" w:themeShade="BF"/>
          <w:sz w:val="22"/>
          <w:szCs w:val="22"/>
        </w:rPr>
        <w:t xml:space="preserve"> DG and CA regions</w:t>
      </w:r>
      <w:r w:rsidR="00947952">
        <w:rPr>
          <w:rFonts w:ascii="Arial" w:hAnsi="Arial" w:cs="Arial"/>
          <w:color w:val="2E74B5" w:themeColor="accent5" w:themeShade="BF"/>
          <w:sz w:val="22"/>
          <w:szCs w:val="22"/>
        </w:rPr>
        <w:t xml:space="preserve">, </w:t>
      </w:r>
      <w:r w:rsidR="00947952" w:rsidRPr="00947952">
        <w:rPr>
          <w:rFonts w:ascii="Arial" w:hAnsi="Arial" w:cs="Arial"/>
          <w:color w:val="2E74B5" w:themeColor="accent5" w:themeShade="BF"/>
          <w:sz w:val="22"/>
          <w:szCs w:val="22"/>
        </w:rPr>
        <w:t xml:space="preserve">and the </w:t>
      </w:r>
      <w:proofErr w:type="spellStart"/>
      <w:r w:rsidR="00947952" w:rsidRPr="00947952">
        <w:rPr>
          <w:rFonts w:ascii="Arial" w:hAnsi="Arial" w:cs="Arial"/>
          <w:color w:val="2E74B5" w:themeColor="accent5" w:themeShade="BF"/>
          <w:sz w:val="22"/>
          <w:szCs w:val="22"/>
        </w:rPr>
        <w:t>Nrf</w:t>
      </w:r>
      <w:proofErr w:type="spellEnd"/>
      <w:r w:rsidR="00947952" w:rsidRPr="00947952">
        <w:rPr>
          <w:rFonts w:ascii="Arial" w:hAnsi="Arial" w:cs="Arial"/>
          <w:color w:val="2E74B5" w:themeColor="accent5" w:themeShade="BF"/>
          <w:sz w:val="22"/>
          <w:szCs w:val="22"/>
        </w:rPr>
        <w:t xml:space="preserve"> binding motifs related gene network in SVZ.</w:t>
      </w:r>
    </w:p>
    <w:p w14:paraId="5E115C3B" w14:textId="0CE84B16" w:rsidR="00D767D5" w:rsidRDefault="00D767D5" w:rsidP="00D767D5">
      <w:pPr>
        <w:jc w:val="center"/>
        <w:rPr>
          <w:rFonts w:ascii="Arial" w:hAnsi="Arial" w:cs="Arial"/>
          <w:color w:val="2E74B5" w:themeColor="accent5" w:themeShade="BF"/>
          <w:sz w:val="22"/>
          <w:szCs w:val="22"/>
        </w:rPr>
      </w:pPr>
      <w:r w:rsidRPr="00D767D5">
        <w:rPr>
          <w:rFonts w:ascii="Arial" w:hAnsi="Arial" w:cs="Arial"/>
          <w:noProof/>
          <w:color w:val="2E74B5" w:themeColor="accent5" w:themeShade="BF"/>
          <w:sz w:val="22"/>
          <w:szCs w:val="22"/>
        </w:rPr>
        <w:lastRenderedPageBreak/>
        <w:drawing>
          <wp:inline distT="0" distB="0" distL="0" distR="0" wp14:anchorId="46953866" wp14:editId="3C56C2C0">
            <wp:extent cx="3949093" cy="4179035"/>
            <wp:effectExtent l="0" t="0" r="635" b="0"/>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a:blip r:embed="rId12"/>
                    <a:stretch>
                      <a:fillRect/>
                    </a:stretch>
                  </pic:blipFill>
                  <pic:spPr>
                    <a:xfrm>
                      <a:off x="0" y="0"/>
                      <a:ext cx="3978013" cy="4209639"/>
                    </a:xfrm>
                    <a:prstGeom prst="rect">
                      <a:avLst/>
                    </a:prstGeom>
                  </pic:spPr>
                </pic:pic>
              </a:graphicData>
            </a:graphic>
          </wp:inline>
        </w:drawing>
      </w:r>
    </w:p>
    <w:p w14:paraId="0EA6FDE2" w14:textId="77777777" w:rsidR="00C97919" w:rsidRPr="00154070" w:rsidRDefault="00C97919" w:rsidP="00F53D99">
      <w:pPr>
        <w:jc w:val="both"/>
        <w:rPr>
          <w:rFonts w:ascii="Arial" w:hAnsi="Arial" w:cs="Arial"/>
          <w:color w:val="2E74B5" w:themeColor="accent5" w:themeShade="BF"/>
          <w:sz w:val="22"/>
          <w:szCs w:val="22"/>
        </w:rPr>
      </w:pPr>
    </w:p>
    <w:p w14:paraId="2C22FB8A" w14:textId="77777777" w:rsidR="0047169F" w:rsidRPr="00FB3565" w:rsidRDefault="0047169F" w:rsidP="00F53D99">
      <w:pPr>
        <w:jc w:val="both"/>
        <w:rPr>
          <w:rFonts w:ascii="Arial" w:hAnsi="Arial" w:cs="Arial"/>
          <w:sz w:val="22"/>
          <w:szCs w:val="22"/>
        </w:rPr>
      </w:pPr>
    </w:p>
    <w:p w14:paraId="4ACB2DC8" w14:textId="53D3165C" w:rsidR="009519EB" w:rsidRDefault="009519EB" w:rsidP="00F53D99">
      <w:pPr>
        <w:jc w:val="both"/>
        <w:rPr>
          <w:rFonts w:ascii="Arial" w:hAnsi="Arial" w:cs="Arial"/>
          <w:sz w:val="22"/>
          <w:szCs w:val="22"/>
        </w:rPr>
      </w:pPr>
      <w:r w:rsidRPr="00FB3565">
        <w:rPr>
          <w:rFonts w:ascii="Arial" w:hAnsi="Arial" w:cs="Arial"/>
          <w:sz w:val="22"/>
          <w:szCs w:val="22"/>
        </w:rPr>
        <w:t xml:space="preserve">- The comparison to human genome is very valuable. Can the authors report the percent homology of regions that are called as 'conserved' between mouse and human? </w:t>
      </w:r>
      <w:proofErr w:type="spellStart"/>
      <w:r w:rsidRPr="00FB3565">
        <w:rPr>
          <w:rFonts w:ascii="Arial" w:hAnsi="Arial" w:cs="Arial"/>
          <w:sz w:val="22"/>
          <w:szCs w:val="22"/>
        </w:rPr>
        <w:t>eg</w:t>
      </w:r>
      <w:proofErr w:type="spellEnd"/>
      <w:r w:rsidRPr="00FB3565">
        <w:rPr>
          <w:rFonts w:ascii="Arial" w:hAnsi="Arial" w:cs="Arial"/>
          <w:sz w:val="22"/>
          <w:szCs w:val="22"/>
        </w:rPr>
        <w:t xml:space="preserve"> line 414</w:t>
      </w:r>
    </w:p>
    <w:p w14:paraId="640DB5B7" w14:textId="7D0115B4" w:rsidR="00154070" w:rsidRDefault="00154070" w:rsidP="00F53D99">
      <w:pPr>
        <w:jc w:val="both"/>
        <w:rPr>
          <w:rFonts w:ascii="Arial" w:hAnsi="Arial" w:cs="Arial"/>
          <w:sz w:val="22"/>
          <w:szCs w:val="22"/>
        </w:rPr>
      </w:pPr>
    </w:p>
    <w:p w14:paraId="2DAA8DA2" w14:textId="176FC657" w:rsidR="00154070" w:rsidRDefault="007A7AAA" w:rsidP="00F53D99">
      <w:pPr>
        <w:jc w:val="both"/>
        <w:rPr>
          <w:rFonts w:ascii="Arial" w:hAnsi="Arial" w:cs="Arial"/>
          <w:color w:val="2E74B5" w:themeColor="accent5" w:themeShade="BF"/>
          <w:sz w:val="22"/>
          <w:szCs w:val="22"/>
        </w:rPr>
      </w:pPr>
      <w:bookmarkStart w:id="16" w:name="OLE_LINK157"/>
      <w:bookmarkStart w:id="17" w:name="OLE_LINK158"/>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16"/>
      <w:bookmarkEnd w:id="17"/>
      <w:r>
        <w:rPr>
          <w:rFonts w:ascii="Arial" w:hAnsi="Arial" w:cs="Arial"/>
          <w:color w:val="2E74B5" w:themeColor="accent5" w:themeShade="BF"/>
          <w:sz w:val="22"/>
          <w:szCs w:val="22"/>
        </w:rPr>
        <w:t xml:space="preserve">We analyzed the evolutionary conservation between mouse (mm10) and human (hg38) genome. </w:t>
      </w:r>
      <w:r w:rsidRPr="007A7AAA">
        <w:rPr>
          <w:rFonts w:ascii="Arial" w:hAnsi="Arial" w:cs="Arial"/>
          <w:color w:val="2E74B5" w:themeColor="accent5" w:themeShade="BF"/>
          <w:sz w:val="22"/>
          <w:szCs w:val="22"/>
        </w:rPr>
        <w:t>The mouse genome was divided into 500bp windows and the orthologous regions</w:t>
      </w:r>
      <w:r>
        <w:rPr>
          <w:rFonts w:ascii="Arial" w:hAnsi="Arial" w:cs="Arial"/>
          <w:color w:val="2E74B5" w:themeColor="accent5" w:themeShade="BF"/>
          <w:sz w:val="22"/>
          <w:szCs w:val="22"/>
        </w:rPr>
        <w:t xml:space="preserve"> of those windows</w:t>
      </w:r>
      <w:r w:rsidRPr="007A7AAA">
        <w:rPr>
          <w:rFonts w:ascii="Arial" w:hAnsi="Arial" w:cs="Arial"/>
          <w:color w:val="2E74B5" w:themeColor="accent5" w:themeShade="BF"/>
          <w:sz w:val="22"/>
          <w:szCs w:val="22"/>
        </w:rPr>
        <w:t xml:space="preserve"> in human</w:t>
      </w:r>
      <w:r>
        <w:rPr>
          <w:rFonts w:ascii="Arial" w:hAnsi="Arial" w:cs="Arial"/>
          <w:color w:val="2E74B5" w:themeColor="accent5" w:themeShade="BF"/>
          <w:sz w:val="22"/>
          <w:szCs w:val="22"/>
        </w:rPr>
        <w:t xml:space="preserve"> </w:t>
      </w:r>
      <w:r w:rsidRPr="007A7AAA">
        <w:rPr>
          <w:rFonts w:ascii="Arial" w:hAnsi="Arial" w:cs="Arial"/>
          <w:color w:val="2E74B5" w:themeColor="accent5" w:themeShade="BF"/>
          <w:sz w:val="22"/>
          <w:szCs w:val="22"/>
        </w:rPr>
        <w:t xml:space="preserve">genomes were identified by using </w:t>
      </w:r>
      <w:proofErr w:type="spellStart"/>
      <w:r w:rsidRPr="007A7AAA">
        <w:rPr>
          <w:rFonts w:ascii="Arial" w:hAnsi="Arial" w:cs="Arial"/>
          <w:color w:val="2E74B5" w:themeColor="accent5" w:themeShade="BF"/>
          <w:sz w:val="22"/>
          <w:szCs w:val="22"/>
        </w:rPr>
        <w:t>liftOver</w:t>
      </w:r>
      <w:proofErr w:type="spellEnd"/>
      <w:r w:rsidRPr="007A7AAA">
        <w:rPr>
          <w:rFonts w:ascii="Arial" w:hAnsi="Arial" w:cs="Arial"/>
          <w:color w:val="2E74B5" w:themeColor="accent5" w:themeShade="BF"/>
          <w:sz w:val="22"/>
          <w:szCs w:val="22"/>
        </w:rPr>
        <w:t xml:space="preserve"> software with parameter "-</w:t>
      </w:r>
      <w:proofErr w:type="spellStart"/>
      <w:r w:rsidRPr="007A7AAA">
        <w:rPr>
          <w:rFonts w:ascii="Arial" w:hAnsi="Arial" w:cs="Arial"/>
          <w:color w:val="2E74B5" w:themeColor="accent5" w:themeShade="BF"/>
          <w:sz w:val="22"/>
          <w:szCs w:val="22"/>
        </w:rPr>
        <w:t>minMatch</w:t>
      </w:r>
      <w:proofErr w:type="spellEnd"/>
      <w:r w:rsidRPr="007A7AAA">
        <w:rPr>
          <w:rFonts w:ascii="Arial" w:hAnsi="Arial" w:cs="Arial"/>
          <w:color w:val="2E74B5" w:themeColor="accent5" w:themeShade="BF"/>
          <w:sz w:val="22"/>
          <w:szCs w:val="22"/>
        </w:rPr>
        <w:t>=0.6"</w:t>
      </w:r>
      <w:r>
        <w:rPr>
          <w:rFonts w:ascii="Arial" w:hAnsi="Arial" w:cs="Arial"/>
          <w:color w:val="2E74B5" w:themeColor="accent5" w:themeShade="BF"/>
          <w:sz w:val="22"/>
          <w:szCs w:val="22"/>
        </w:rPr>
        <w:t xml:space="preserve">. 34% of those mouse 500bp windows had orthologous </w:t>
      </w:r>
      <w:r w:rsidR="00316CAA" w:rsidRPr="00316CAA">
        <w:rPr>
          <w:rFonts w:ascii="Arial" w:hAnsi="Arial" w:cs="Arial"/>
          <w:color w:val="2E74B5" w:themeColor="accent5" w:themeShade="BF"/>
          <w:sz w:val="22"/>
          <w:szCs w:val="22"/>
        </w:rPr>
        <w:t xml:space="preserve">counterparts </w:t>
      </w:r>
      <w:r>
        <w:rPr>
          <w:rFonts w:ascii="Arial" w:hAnsi="Arial" w:cs="Arial"/>
          <w:color w:val="2E74B5" w:themeColor="accent5" w:themeShade="BF"/>
          <w:sz w:val="22"/>
          <w:szCs w:val="22"/>
        </w:rPr>
        <w:t>in human genome.</w:t>
      </w:r>
    </w:p>
    <w:p w14:paraId="53A623F4" w14:textId="3E2B304D" w:rsidR="007A7AAA" w:rsidRDefault="00316CAA" w:rsidP="00316CAA">
      <w:pPr>
        <w:jc w:val="center"/>
        <w:rPr>
          <w:rFonts w:ascii="Arial" w:hAnsi="Arial" w:cs="Arial"/>
          <w:sz w:val="22"/>
          <w:szCs w:val="22"/>
        </w:rPr>
      </w:pPr>
      <w:r w:rsidRPr="00316CAA">
        <w:rPr>
          <w:rFonts w:ascii="Arial" w:hAnsi="Arial" w:cs="Arial"/>
          <w:noProof/>
          <w:sz w:val="22"/>
          <w:szCs w:val="22"/>
        </w:rPr>
        <w:drawing>
          <wp:inline distT="0" distB="0" distL="0" distR="0" wp14:anchorId="19E8DCBB" wp14:editId="5D045247">
            <wp:extent cx="3310569" cy="613304"/>
            <wp:effectExtent l="0" t="0" r="0" b="0"/>
            <wp:docPr id="6" name="Picture 5">
              <a:extLst xmlns:a="http://schemas.openxmlformats.org/drawingml/2006/main">
                <a:ext uri="{FF2B5EF4-FFF2-40B4-BE49-F238E27FC236}">
                  <a16:creationId xmlns:a16="http://schemas.microsoft.com/office/drawing/2014/main" id="{B43CFDD2-A0EC-26A9-85D7-56A92ED41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43CFDD2-A0EC-26A9-85D7-56A92ED4138E}"/>
                        </a:ext>
                      </a:extLst>
                    </pic:cNvPr>
                    <pic:cNvPicPr>
                      <a:picLocks noChangeAspect="1"/>
                    </pic:cNvPicPr>
                  </pic:nvPicPr>
                  <pic:blipFill>
                    <a:blip r:embed="rId13"/>
                    <a:stretch>
                      <a:fillRect/>
                    </a:stretch>
                  </pic:blipFill>
                  <pic:spPr>
                    <a:xfrm>
                      <a:off x="0" y="0"/>
                      <a:ext cx="3349765" cy="620565"/>
                    </a:xfrm>
                    <a:prstGeom prst="rect">
                      <a:avLst/>
                    </a:prstGeom>
                  </pic:spPr>
                </pic:pic>
              </a:graphicData>
            </a:graphic>
          </wp:inline>
        </w:drawing>
      </w:r>
    </w:p>
    <w:p w14:paraId="6EC256DF" w14:textId="77777777" w:rsidR="00154070" w:rsidRPr="00FB3565" w:rsidRDefault="00154070" w:rsidP="00F53D99">
      <w:pPr>
        <w:jc w:val="both"/>
        <w:rPr>
          <w:rFonts w:ascii="Arial" w:hAnsi="Arial" w:cs="Arial"/>
          <w:sz w:val="22"/>
          <w:szCs w:val="22"/>
        </w:rPr>
      </w:pPr>
    </w:p>
    <w:p w14:paraId="4C73290B" w14:textId="3ACDE3F0" w:rsidR="009519EB" w:rsidRPr="00FB3565" w:rsidRDefault="009519EB" w:rsidP="00F53D99">
      <w:pPr>
        <w:jc w:val="both"/>
        <w:rPr>
          <w:rFonts w:ascii="Arial" w:hAnsi="Arial" w:cs="Arial"/>
          <w:sz w:val="22"/>
          <w:szCs w:val="22"/>
        </w:rPr>
      </w:pPr>
      <w:r w:rsidRPr="00FB3565">
        <w:rPr>
          <w:rFonts w:ascii="Arial" w:hAnsi="Arial" w:cs="Arial"/>
          <w:sz w:val="22"/>
          <w:szCs w:val="22"/>
        </w:rPr>
        <w:t>- See annotated PDF for additional comments/questions</w:t>
      </w:r>
    </w:p>
    <w:p w14:paraId="07AE348D" w14:textId="672480D7" w:rsidR="00E746B1" w:rsidRDefault="00B4084E" w:rsidP="00F53D99">
      <w:pPr>
        <w:jc w:val="both"/>
        <w:rPr>
          <w:rFonts w:ascii="Arial" w:hAnsi="Arial" w:cs="Arial"/>
          <w:sz w:val="22"/>
          <w:szCs w:val="22"/>
        </w:rPr>
      </w:pPr>
      <w:r w:rsidRPr="00FB3565">
        <w:rPr>
          <w:rFonts w:ascii="Arial" w:hAnsi="Arial" w:cs="Arial"/>
          <w:sz w:val="22"/>
          <w:szCs w:val="22"/>
        </w:rPr>
        <w:t>Line 54: NIDA and DSM are moving away from the word 'abused' and 'abuser,' for the purpose of destigmatizing addiction. Please consider revising the document to remove these terms.</w:t>
      </w:r>
    </w:p>
    <w:p w14:paraId="7E6F9BE8" w14:textId="1EBCDCCE" w:rsidR="00C64273" w:rsidRDefault="00C64273" w:rsidP="00F53D99">
      <w:pPr>
        <w:jc w:val="both"/>
        <w:rPr>
          <w:rFonts w:ascii="Arial" w:hAnsi="Arial" w:cs="Arial"/>
          <w:sz w:val="22"/>
          <w:szCs w:val="22"/>
        </w:rPr>
      </w:pPr>
    </w:p>
    <w:p w14:paraId="4E6F94CA" w14:textId="2A84A69B" w:rsidR="00C64273" w:rsidRDefault="00C64273" w:rsidP="00F53D99">
      <w:pPr>
        <w:jc w:val="both"/>
        <w:rPr>
          <w:rFonts w:ascii="Arial" w:hAnsi="Arial" w:cs="Arial"/>
          <w:sz w:val="22"/>
          <w:szCs w:val="22"/>
        </w:rPr>
      </w:pPr>
      <w:bookmarkStart w:id="18" w:name="OLE_LINK159"/>
      <w:bookmarkStart w:id="19" w:name="OLE_LINK16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18"/>
      <w:bookmarkEnd w:id="19"/>
      <w:r>
        <w:rPr>
          <w:rFonts w:ascii="Arial" w:hAnsi="Arial" w:cs="Arial"/>
          <w:color w:val="2E74B5" w:themeColor="accent5" w:themeShade="BF"/>
          <w:sz w:val="22"/>
          <w:szCs w:val="22"/>
        </w:rPr>
        <w:t>In the manuscript, we used “people who abuse METH” instead of the word ‘abused’ and ‘abuser’. And we used “METH misuse” instead of “METH use”.</w:t>
      </w:r>
    </w:p>
    <w:p w14:paraId="6250D16A" w14:textId="77777777" w:rsidR="00C64273" w:rsidRPr="00FB3565" w:rsidRDefault="00C64273" w:rsidP="00F53D99">
      <w:pPr>
        <w:jc w:val="both"/>
        <w:rPr>
          <w:rFonts w:ascii="Arial" w:hAnsi="Arial" w:cs="Arial"/>
          <w:sz w:val="22"/>
          <w:szCs w:val="22"/>
        </w:rPr>
      </w:pPr>
    </w:p>
    <w:p w14:paraId="179CF993" w14:textId="32672FFE" w:rsidR="00B4084E" w:rsidRDefault="00B4084E" w:rsidP="00F53D99">
      <w:pPr>
        <w:jc w:val="both"/>
        <w:rPr>
          <w:rFonts w:ascii="Arial" w:hAnsi="Arial" w:cs="Arial"/>
          <w:sz w:val="22"/>
          <w:szCs w:val="22"/>
        </w:rPr>
      </w:pPr>
      <w:bookmarkStart w:id="20" w:name="OLE_LINK3"/>
      <w:bookmarkStart w:id="21" w:name="OLE_LINK4"/>
      <w:r w:rsidRPr="00FB3565">
        <w:rPr>
          <w:rFonts w:ascii="Arial" w:hAnsi="Arial" w:cs="Arial"/>
          <w:sz w:val="22"/>
          <w:szCs w:val="22"/>
        </w:rPr>
        <w:t xml:space="preserve">Line 96: </w:t>
      </w:r>
      <w:bookmarkEnd w:id="20"/>
      <w:bookmarkEnd w:id="21"/>
      <w:r w:rsidRPr="00FB3565">
        <w:rPr>
          <w:rFonts w:ascii="Arial" w:hAnsi="Arial" w:cs="Arial"/>
          <w:sz w:val="22"/>
          <w:szCs w:val="22"/>
        </w:rPr>
        <w:t>This is an analysis of mRNA levels and open chromatin at a single time point. Please consider revising the term 'dynamic' for greater accuracy.</w:t>
      </w:r>
    </w:p>
    <w:p w14:paraId="3BA900B6" w14:textId="5D8D0CFF" w:rsidR="00C64273" w:rsidRDefault="00C64273" w:rsidP="00F53D99">
      <w:pPr>
        <w:jc w:val="both"/>
        <w:rPr>
          <w:rFonts w:ascii="Arial" w:hAnsi="Arial" w:cs="Arial"/>
          <w:sz w:val="22"/>
          <w:szCs w:val="22"/>
        </w:rPr>
      </w:pPr>
    </w:p>
    <w:p w14:paraId="7CF057A3" w14:textId="6364AFAB" w:rsidR="00C64273" w:rsidRDefault="00C64273" w:rsidP="00F53D99">
      <w:pPr>
        <w:jc w:val="both"/>
        <w:rPr>
          <w:rFonts w:ascii="Arial" w:hAnsi="Arial" w:cs="Arial"/>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A7147F">
        <w:rPr>
          <w:rFonts w:ascii="Arial" w:hAnsi="Arial" w:cs="Arial"/>
          <w:color w:val="2E74B5" w:themeColor="accent5" w:themeShade="BF"/>
          <w:sz w:val="22"/>
          <w:szCs w:val="22"/>
        </w:rPr>
        <w:t xml:space="preserve"> </w:t>
      </w:r>
      <w:r w:rsidR="00A7147F" w:rsidRPr="00A7147F">
        <w:rPr>
          <w:rFonts w:ascii="Arial" w:hAnsi="Arial" w:cs="Arial"/>
          <w:color w:val="2E74B5" w:themeColor="accent5" w:themeShade="BF"/>
          <w:sz w:val="22"/>
          <w:szCs w:val="22"/>
        </w:rPr>
        <w:t xml:space="preserve">We </w:t>
      </w:r>
      <w:r w:rsidR="00A7147F">
        <w:rPr>
          <w:rFonts w:ascii="Arial" w:hAnsi="Arial" w:cs="Arial"/>
          <w:color w:val="2E74B5" w:themeColor="accent5" w:themeShade="BF"/>
          <w:sz w:val="22"/>
          <w:szCs w:val="22"/>
        </w:rPr>
        <w:t>revised</w:t>
      </w:r>
      <w:r w:rsidR="00A7147F" w:rsidRPr="00A7147F">
        <w:rPr>
          <w:rFonts w:ascii="Arial" w:hAnsi="Arial" w:cs="Arial"/>
          <w:color w:val="2E74B5" w:themeColor="accent5" w:themeShade="BF"/>
          <w:sz w:val="22"/>
          <w:szCs w:val="22"/>
        </w:rPr>
        <w:t xml:space="preserve"> the</w:t>
      </w:r>
      <w:r w:rsidR="00490D56">
        <w:rPr>
          <w:rFonts w:ascii="Arial" w:hAnsi="Arial" w:cs="Arial"/>
          <w:color w:val="2E74B5" w:themeColor="accent5" w:themeShade="BF"/>
          <w:sz w:val="22"/>
          <w:szCs w:val="22"/>
        </w:rPr>
        <w:t xml:space="preserve"> sentence:</w:t>
      </w:r>
      <w:r w:rsidR="00A7147F" w:rsidRPr="00A7147F">
        <w:rPr>
          <w:rFonts w:ascii="Arial" w:hAnsi="Arial" w:cs="Arial"/>
          <w:color w:val="2E74B5" w:themeColor="accent5" w:themeShade="BF"/>
          <w:sz w:val="22"/>
          <w:szCs w:val="22"/>
        </w:rPr>
        <w:t xml:space="preserve"> In this study, we </w:t>
      </w:r>
      <w:r w:rsidR="00490D56">
        <w:rPr>
          <w:rFonts w:ascii="Arial" w:hAnsi="Arial" w:cs="Arial"/>
          <w:color w:val="2E74B5" w:themeColor="accent5" w:themeShade="BF"/>
          <w:sz w:val="22"/>
          <w:szCs w:val="22"/>
        </w:rPr>
        <w:t xml:space="preserve">separately </w:t>
      </w:r>
      <w:r w:rsidR="00A7147F" w:rsidRPr="00A7147F">
        <w:rPr>
          <w:rFonts w:ascii="Arial" w:hAnsi="Arial" w:cs="Arial"/>
          <w:color w:val="2E74B5" w:themeColor="accent5" w:themeShade="BF"/>
          <w:sz w:val="22"/>
          <w:szCs w:val="22"/>
        </w:rPr>
        <w:t xml:space="preserve">analyzed the dynamic changes of transcription and chromatin accessibility after </w:t>
      </w:r>
      <w:r w:rsidR="00490D56">
        <w:rPr>
          <w:rFonts w:ascii="Arial" w:hAnsi="Arial" w:cs="Arial"/>
          <w:color w:val="2E74B5" w:themeColor="accent5" w:themeShade="BF"/>
          <w:sz w:val="22"/>
          <w:szCs w:val="22"/>
        </w:rPr>
        <w:t>binge METH exposure</w:t>
      </w:r>
      <w:r w:rsidR="00A7147F" w:rsidRPr="00A7147F">
        <w:rPr>
          <w:rFonts w:ascii="Arial" w:hAnsi="Arial" w:cs="Arial"/>
          <w:color w:val="2E74B5" w:themeColor="accent5" w:themeShade="BF"/>
          <w:sz w:val="22"/>
          <w:szCs w:val="22"/>
        </w:rPr>
        <w:t xml:space="preserve"> in four rat brain regions.</w:t>
      </w:r>
    </w:p>
    <w:p w14:paraId="63CFAFE0" w14:textId="77777777" w:rsidR="00A7147F" w:rsidRPr="00FB3565" w:rsidRDefault="00A7147F" w:rsidP="00F53D99">
      <w:pPr>
        <w:jc w:val="both"/>
        <w:rPr>
          <w:rFonts w:ascii="Arial" w:hAnsi="Arial" w:cs="Arial"/>
          <w:sz w:val="22"/>
          <w:szCs w:val="22"/>
        </w:rPr>
      </w:pPr>
    </w:p>
    <w:p w14:paraId="04DCD5B3" w14:textId="457AD53B" w:rsidR="00C64273" w:rsidRDefault="00B4084E" w:rsidP="00F53D99">
      <w:pPr>
        <w:jc w:val="both"/>
        <w:rPr>
          <w:rFonts w:ascii="Arial" w:hAnsi="Arial" w:cs="Arial"/>
          <w:sz w:val="22"/>
          <w:szCs w:val="22"/>
        </w:rPr>
      </w:pPr>
      <w:bookmarkStart w:id="22" w:name="OLE_LINK5"/>
      <w:bookmarkStart w:id="23" w:name="OLE_LINK6"/>
      <w:r w:rsidRPr="00FB3565">
        <w:rPr>
          <w:rFonts w:ascii="Arial" w:hAnsi="Arial" w:cs="Arial"/>
          <w:sz w:val="22"/>
          <w:szCs w:val="22"/>
        </w:rPr>
        <w:t xml:space="preserve">Line 111: </w:t>
      </w:r>
      <w:bookmarkEnd w:id="22"/>
      <w:bookmarkEnd w:id="23"/>
      <w:r w:rsidRPr="00FB3565">
        <w:rPr>
          <w:rFonts w:ascii="Arial" w:hAnsi="Arial" w:cs="Arial"/>
          <w:sz w:val="22"/>
          <w:szCs w:val="22"/>
        </w:rPr>
        <w:t>how accurate is 'highly related' to 'neurological' processes. is this 'relatedness' quantified?</w:t>
      </w:r>
    </w:p>
    <w:p w14:paraId="145310DA" w14:textId="77777777" w:rsidR="00F3109A" w:rsidRDefault="00F3109A" w:rsidP="00F53D99">
      <w:pPr>
        <w:jc w:val="both"/>
        <w:rPr>
          <w:rFonts w:ascii="Arial" w:hAnsi="Arial" w:cs="Arial"/>
          <w:sz w:val="22"/>
          <w:szCs w:val="22"/>
        </w:rPr>
      </w:pPr>
    </w:p>
    <w:p w14:paraId="27C1737B" w14:textId="3A89B6BF" w:rsidR="00C64273" w:rsidRDefault="00C64273"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In the</w:t>
      </w:r>
      <w:r w:rsidR="00DA1BB1" w:rsidRPr="00DA1BB1">
        <w:rPr>
          <w:rFonts w:ascii="Arial" w:hAnsi="Arial" w:cs="Arial"/>
          <w:color w:val="2E74B5" w:themeColor="accent5" w:themeShade="BF"/>
          <w:sz w:val="22"/>
          <w:szCs w:val="22"/>
        </w:rPr>
        <w:t xml:space="preserve"> introduction </w:t>
      </w:r>
      <w:r w:rsidR="00DA1BB1">
        <w:rPr>
          <w:rFonts w:ascii="Arial" w:hAnsi="Arial" w:cs="Arial"/>
          <w:color w:val="2E74B5" w:themeColor="accent5" w:themeShade="BF"/>
          <w:sz w:val="22"/>
          <w:szCs w:val="22"/>
        </w:rPr>
        <w:t>of</w:t>
      </w:r>
      <w:r w:rsidR="00DA1BB1" w:rsidRPr="00DA1BB1">
        <w:rPr>
          <w:rFonts w:ascii="Arial" w:hAnsi="Arial" w:cs="Arial"/>
          <w:color w:val="2E74B5" w:themeColor="accent5" w:themeShade="BF"/>
          <w:sz w:val="22"/>
          <w:szCs w:val="22"/>
        </w:rPr>
        <w:t xml:space="preserve"> manuscript,</w:t>
      </w:r>
      <w:r w:rsidR="00DA1BB1">
        <w:rPr>
          <w:rFonts w:ascii="Arial" w:hAnsi="Arial" w:cs="Arial"/>
          <w:color w:val="2E74B5" w:themeColor="accent5" w:themeShade="BF"/>
          <w:sz w:val="22"/>
          <w:szCs w:val="22"/>
        </w:rPr>
        <w:t xml:space="preserve"> we</w:t>
      </w:r>
      <w:r w:rsidR="00DA1BB1" w:rsidRPr="00DA1BB1">
        <w:rPr>
          <w:rFonts w:ascii="Arial" w:hAnsi="Arial" w:cs="Arial"/>
          <w:color w:val="2E74B5" w:themeColor="accent5" w:themeShade="BF"/>
          <w:sz w:val="22"/>
          <w:szCs w:val="22"/>
        </w:rPr>
        <w:t xml:space="preserve"> </w:t>
      </w:r>
      <w:r w:rsidR="00DA1BB1">
        <w:rPr>
          <w:rFonts w:ascii="Arial" w:hAnsi="Arial" w:cs="Arial"/>
          <w:color w:val="2E74B5" w:themeColor="accent5" w:themeShade="BF"/>
          <w:sz w:val="22"/>
          <w:szCs w:val="22"/>
        </w:rPr>
        <w:t>revised</w:t>
      </w:r>
      <w:r w:rsidR="00DA1BB1" w:rsidRPr="00DA1BB1">
        <w:rPr>
          <w:rFonts w:ascii="Arial" w:hAnsi="Arial" w:cs="Arial"/>
          <w:color w:val="2E74B5" w:themeColor="accent5" w:themeShade="BF"/>
          <w:sz w:val="22"/>
          <w:szCs w:val="22"/>
        </w:rPr>
        <w:t xml:space="preserve"> “approximately 70% were orthologous in rat, mouse, and human genomes and were highly related to neurological processes” to “approximately 70% were orthologous in rat, mouse, and human genomes and enriched in neurological processes.” </w:t>
      </w:r>
      <w:r w:rsidR="00DA1BB1">
        <w:rPr>
          <w:rFonts w:ascii="Arial" w:hAnsi="Arial" w:cs="Arial"/>
          <w:color w:val="2E74B5" w:themeColor="accent5" w:themeShade="BF"/>
          <w:sz w:val="22"/>
          <w:szCs w:val="22"/>
        </w:rPr>
        <w:t>Meanwhile, t</w:t>
      </w:r>
      <w:r w:rsidR="00DA1BB1" w:rsidRPr="00DA1BB1">
        <w:rPr>
          <w:rFonts w:ascii="Arial" w:hAnsi="Arial" w:cs="Arial"/>
          <w:color w:val="2E74B5" w:themeColor="accent5" w:themeShade="BF"/>
          <w:sz w:val="22"/>
          <w:szCs w:val="22"/>
        </w:rPr>
        <w:t>he fig.4c showed the biology process terms enriched in rat-mouse-human orthologous DARs and most of those terms belong to neurological processes.</w:t>
      </w:r>
    </w:p>
    <w:p w14:paraId="49D24C09" w14:textId="77777777" w:rsidR="00C64273" w:rsidRPr="00FB3565" w:rsidRDefault="00C64273" w:rsidP="00F53D99">
      <w:pPr>
        <w:jc w:val="both"/>
        <w:rPr>
          <w:rFonts w:ascii="Arial" w:hAnsi="Arial" w:cs="Arial"/>
          <w:sz w:val="22"/>
          <w:szCs w:val="22"/>
        </w:rPr>
      </w:pPr>
    </w:p>
    <w:p w14:paraId="2B42753A" w14:textId="4D3094AC" w:rsidR="00B4084E" w:rsidRDefault="00B4084E" w:rsidP="00F53D99">
      <w:pPr>
        <w:jc w:val="both"/>
        <w:rPr>
          <w:rFonts w:ascii="Arial" w:hAnsi="Arial" w:cs="Arial"/>
          <w:sz w:val="22"/>
          <w:szCs w:val="22"/>
        </w:rPr>
      </w:pPr>
      <w:bookmarkStart w:id="24" w:name="OLE_LINK7"/>
      <w:bookmarkStart w:id="25" w:name="OLE_LINK8"/>
      <w:r w:rsidRPr="00FB3565">
        <w:rPr>
          <w:rFonts w:ascii="Arial" w:hAnsi="Arial" w:cs="Arial"/>
          <w:sz w:val="22"/>
          <w:szCs w:val="22"/>
        </w:rPr>
        <w:t xml:space="preserve">Line 112: </w:t>
      </w:r>
      <w:bookmarkEnd w:id="24"/>
      <w:bookmarkEnd w:id="25"/>
      <w:r w:rsidRPr="00FB3565">
        <w:rPr>
          <w:rFonts w:ascii="Arial" w:hAnsi="Arial" w:cs="Arial"/>
          <w:sz w:val="22"/>
          <w:szCs w:val="22"/>
        </w:rPr>
        <w:t>Consider revising these as novel hypotheses that were generated from the findings.</w:t>
      </w:r>
    </w:p>
    <w:p w14:paraId="5BC47841" w14:textId="6428A08C" w:rsidR="00C64273" w:rsidRDefault="00C64273" w:rsidP="00F53D99">
      <w:pPr>
        <w:jc w:val="both"/>
        <w:rPr>
          <w:rFonts w:ascii="Arial" w:hAnsi="Arial" w:cs="Arial"/>
          <w:sz w:val="22"/>
          <w:szCs w:val="22"/>
        </w:rPr>
      </w:pPr>
    </w:p>
    <w:p w14:paraId="05A3F5CA" w14:textId="14480046" w:rsidR="00C64273" w:rsidRDefault="00C64273"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w:t>
      </w:r>
    </w:p>
    <w:p w14:paraId="6F0763C2" w14:textId="77777777" w:rsidR="00C64273" w:rsidRPr="00FB3565" w:rsidRDefault="00C64273" w:rsidP="00F53D99">
      <w:pPr>
        <w:jc w:val="both"/>
        <w:rPr>
          <w:rFonts w:ascii="Arial" w:hAnsi="Arial" w:cs="Arial"/>
          <w:sz w:val="22"/>
          <w:szCs w:val="22"/>
        </w:rPr>
      </w:pPr>
    </w:p>
    <w:p w14:paraId="24BC9DD4" w14:textId="756A12E7" w:rsidR="009519EB" w:rsidRDefault="00B4084E" w:rsidP="00B4084E">
      <w:pPr>
        <w:jc w:val="both"/>
        <w:rPr>
          <w:rFonts w:ascii="Arial" w:hAnsi="Arial" w:cs="Arial"/>
          <w:sz w:val="22"/>
          <w:szCs w:val="22"/>
        </w:rPr>
      </w:pPr>
      <w:bookmarkStart w:id="26" w:name="OLE_LINK9"/>
      <w:bookmarkStart w:id="27" w:name="OLE_LINK10"/>
      <w:r w:rsidRPr="00FB3565">
        <w:rPr>
          <w:rFonts w:ascii="Arial" w:hAnsi="Arial" w:cs="Arial"/>
          <w:sz w:val="22"/>
          <w:szCs w:val="22"/>
        </w:rPr>
        <w:t xml:space="preserve">Line 123: </w:t>
      </w:r>
      <w:bookmarkEnd w:id="26"/>
      <w:bookmarkEnd w:id="27"/>
      <w:r w:rsidRPr="00FB3565">
        <w:rPr>
          <w:rFonts w:ascii="Arial" w:hAnsi="Arial" w:cs="Arial"/>
          <w:sz w:val="22"/>
          <w:szCs w:val="22"/>
        </w:rPr>
        <w:t xml:space="preserve">Is this a cited binge/overdose model? How is 'overdose' defined? Can authors cite the </w:t>
      </w:r>
      <w:commentRangeStart w:id="28"/>
      <w:r w:rsidRPr="00FB3565">
        <w:rPr>
          <w:rFonts w:ascii="Arial" w:hAnsi="Arial" w:cs="Arial"/>
          <w:sz w:val="22"/>
          <w:szCs w:val="22"/>
        </w:rPr>
        <w:t>model</w:t>
      </w:r>
      <w:commentRangeEnd w:id="28"/>
      <w:r w:rsidR="006E0A50">
        <w:rPr>
          <w:rStyle w:val="CommentReference"/>
        </w:rPr>
        <w:commentReference w:id="28"/>
      </w:r>
      <w:r w:rsidRPr="00FB3565">
        <w:rPr>
          <w:rFonts w:ascii="Arial" w:hAnsi="Arial" w:cs="Arial"/>
          <w:sz w:val="22"/>
          <w:szCs w:val="22"/>
        </w:rPr>
        <w:t>?</w:t>
      </w:r>
    </w:p>
    <w:p w14:paraId="521EE527" w14:textId="0649E9FB" w:rsidR="000C7257" w:rsidRDefault="000C7257" w:rsidP="00DA1BB1">
      <w:pPr>
        <w:jc w:val="both"/>
        <w:rPr>
          <w:rFonts w:ascii="Arial" w:hAnsi="Arial" w:cs="Arial"/>
          <w:color w:val="2E74B5" w:themeColor="accent5" w:themeShade="BF"/>
          <w:sz w:val="20"/>
          <w:szCs w:val="20"/>
        </w:rPr>
      </w:pPr>
    </w:p>
    <w:p w14:paraId="38667EEF" w14:textId="66138745" w:rsidR="0071702C" w:rsidRDefault="000C7257" w:rsidP="000C7257">
      <w:pPr>
        <w:jc w:val="both"/>
        <w:rPr>
          <w:rFonts w:ascii="Arial" w:hAnsi="Arial" w:cs="Arial"/>
          <w:color w:val="2E74B5" w:themeColor="accent5" w:themeShade="BF"/>
          <w:sz w:val="22"/>
          <w:szCs w:val="22"/>
        </w:rPr>
      </w:pPr>
      <w:r w:rsidRPr="006E0A50">
        <w:rPr>
          <w:rFonts w:ascii="Arial" w:hAnsi="Arial" w:cs="Arial"/>
          <w:b/>
          <w:bCs/>
          <w:color w:val="2E74B5" w:themeColor="accent5" w:themeShade="BF"/>
          <w:sz w:val="22"/>
          <w:szCs w:val="22"/>
        </w:rPr>
        <w:t>From AM</w:t>
      </w:r>
      <w:r w:rsidRPr="0071702C">
        <w:rPr>
          <w:rFonts w:ascii="Arial" w:hAnsi="Arial" w:cs="Arial"/>
          <w:color w:val="2E74B5" w:themeColor="accent5" w:themeShade="BF"/>
          <w:sz w:val="22"/>
          <w:szCs w:val="22"/>
        </w:rPr>
        <w:t>: M</w:t>
      </w:r>
      <w:r w:rsidR="00492FA5">
        <w:rPr>
          <w:rFonts w:ascii="Arial" w:hAnsi="Arial" w:cs="Arial"/>
          <w:color w:val="2E74B5" w:themeColor="accent5" w:themeShade="BF"/>
          <w:sz w:val="22"/>
          <w:szCs w:val="22"/>
        </w:rPr>
        <w:t>ETH</w:t>
      </w:r>
      <w:r w:rsidRPr="0071702C">
        <w:rPr>
          <w:rFonts w:ascii="Arial" w:hAnsi="Arial" w:cs="Arial"/>
          <w:color w:val="2E74B5" w:themeColor="accent5" w:themeShade="BF"/>
          <w:sz w:val="22"/>
          <w:szCs w:val="22"/>
        </w:rPr>
        <w:t xml:space="preserve"> overdose is taking high amount of the drug (at once or chronically) that induces a range of negative physical and psychological symptoms. Physical symptoms such as seizures, hyperthermia, arrhythmia and hemorrhagic strokes can be life threatening. Negative psychological symptoms induced by M</w:t>
      </w:r>
      <w:r w:rsidR="00492FA5">
        <w:rPr>
          <w:rFonts w:ascii="Arial" w:hAnsi="Arial" w:cs="Arial"/>
          <w:color w:val="2E74B5" w:themeColor="accent5" w:themeShade="BF"/>
          <w:sz w:val="22"/>
          <w:szCs w:val="22"/>
        </w:rPr>
        <w:t>ETH</w:t>
      </w:r>
      <w:r w:rsidRPr="0071702C">
        <w:rPr>
          <w:rFonts w:ascii="Arial" w:hAnsi="Arial" w:cs="Arial"/>
          <w:color w:val="2E74B5" w:themeColor="accent5" w:themeShade="BF"/>
          <w:sz w:val="22"/>
          <w:szCs w:val="22"/>
        </w:rPr>
        <w:t xml:space="preserve"> overdose include agitation, hyperlocomotion and tweaking, cognitive impairments and psychosis. These effects are result of M</w:t>
      </w:r>
      <w:r w:rsidR="00492FA5">
        <w:rPr>
          <w:rFonts w:ascii="Arial" w:hAnsi="Arial" w:cs="Arial"/>
          <w:color w:val="2E74B5" w:themeColor="accent5" w:themeShade="BF"/>
          <w:sz w:val="22"/>
          <w:szCs w:val="22"/>
        </w:rPr>
        <w:t>ETH</w:t>
      </w:r>
      <w:r w:rsidRPr="0071702C">
        <w:rPr>
          <w:rFonts w:ascii="Arial" w:hAnsi="Arial" w:cs="Arial"/>
          <w:color w:val="2E74B5" w:themeColor="accent5" w:themeShade="BF"/>
          <w:sz w:val="22"/>
          <w:szCs w:val="22"/>
        </w:rPr>
        <w:t xml:space="preserve"> neurotoxicity which involves oxidative stress, excitotoxicity, mitochondrial dysfunction, inflammation and cell death via apoptosis and necrosis.  Administration of M</w:t>
      </w:r>
      <w:r w:rsidR="00492FA5">
        <w:rPr>
          <w:rFonts w:ascii="Arial" w:hAnsi="Arial" w:cs="Arial"/>
          <w:color w:val="2E74B5" w:themeColor="accent5" w:themeShade="BF"/>
          <w:sz w:val="22"/>
          <w:szCs w:val="22"/>
        </w:rPr>
        <w:t>ETH</w:t>
      </w:r>
      <w:r w:rsidRPr="0071702C">
        <w:rPr>
          <w:rFonts w:ascii="Arial" w:hAnsi="Arial" w:cs="Arial"/>
          <w:color w:val="2E74B5" w:themeColor="accent5" w:themeShade="BF"/>
          <w:sz w:val="22"/>
          <w:szCs w:val="22"/>
        </w:rPr>
        <w:t xml:space="preserve"> in a binge in our study is an established model of M</w:t>
      </w:r>
      <w:r w:rsidR="00492FA5">
        <w:rPr>
          <w:rFonts w:ascii="Arial" w:hAnsi="Arial" w:cs="Arial"/>
          <w:color w:val="2E74B5" w:themeColor="accent5" w:themeShade="BF"/>
          <w:sz w:val="22"/>
          <w:szCs w:val="22"/>
        </w:rPr>
        <w:t>ETH</w:t>
      </w:r>
      <w:r w:rsidRPr="0071702C">
        <w:rPr>
          <w:rFonts w:ascii="Arial" w:hAnsi="Arial" w:cs="Arial"/>
          <w:color w:val="2E74B5" w:themeColor="accent5" w:themeShade="BF"/>
          <w:sz w:val="22"/>
          <w:szCs w:val="22"/>
        </w:rPr>
        <w:t xml:space="preserve"> neurotoxicity and mimics acute Meth overdose. Chronic M</w:t>
      </w:r>
      <w:r w:rsidR="00492FA5">
        <w:rPr>
          <w:rFonts w:ascii="Arial" w:hAnsi="Arial" w:cs="Arial"/>
          <w:color w:val="2E74B5" w:themeColor="accent5" w:themeShade="BF"/>
          <w:sz w:val="22"/>
          <w:szCs w:val="22"/>
        </w:rPr>
        <w:t xml:space="preserve">ETH </w:t>
      </w:r>
      <w:r w:rsidRPr="0071702C">
        <w:rPr>
          <w:rFonts w:ascii="Arial" w:hAnsi="Arial" w:cs="Arial"/>
          <w:color w:val="2E74B5" w:themeColor="accent5" w:themeShade="BF"/>
          <w:sz w:val="22"/>
          <w:szCs w:val="22"/>
        </w:rPr>
        <w:t xml:space="preserve">administration also produces similar neurotoxic effects in the body. There </w:t>
      </w:r>
      <w:r w:rsidR="00492FA5">
        <w:rPr>
          <w:rFonts w:ascii="Arial" w:hAnsi="Arial" w:cs="Arial"/>
          <w:color w:val="2E74B5" w:themeColor="accent5" w:themeShade="BF"/>
          <w:sz w:val="22"/>
          <w:szCs w:val="22"/>
        </w:rPr>
        <w:t>are</w:t>
      </w:r>
      <w:r w:rsidRPr="0071702C">
        <w:rPr>
          <w:rFonts w:ascii="Arial" w:hAnsi="Arial" w:cs="Arial"/>
          <w:color w:val="2E74B5" w:themeColor="accent5" w:themeShade="BF"/>
          <w:sz w:val="22"/>
          <w:szCs w:val="22"/>
        </w:rPr>
        <w:t xml:space="preserve"> </w:t>
      </w:r>
      <w:r w:rsidR="00492FA5" w:rsidRPr="0071702C">
        <w:rPr>
          <w:rFonts w:ascii="Arial" w:hAnsi="Arial" w:cs="Arial"/>
          <w:color w:val="2E74B5" w:themeColor="accent5" w:themeShade="BF"/>
          <w:sz w:val="22"/>
          <w:szCs w:val="22"/>
        </w:rPr>
        <w:t>many</w:t>
      </w:r>
      <w:r w:rsidRPr="0071702C">
        <w:rPr>
          <w:rFonts w:ascii="Arial" w:hAnsi="Arial" w:cs="Arial"/>
          <w:color w:val="2E74B5" w:themeColor="accent5" w:themeShade="BF"/>
          <w:sz w:val="22"/>
          <w:szCs w:val="22"/>
        </w:rPr>
        <w:t xml:space="preserve"> manuscripts showing that binge METH administration is neurotoxic to the brain and that it causes similar symptoms in rodents as METH overdose in humans. For example: </w:t>
      </w:r>
    </w:p>
    <w:p w14:paraId="56B2C596" w14:textId="77777777" w:rsidR="0071702C" w:rsidRPr="0071702C" w:rsidRDefault="0071702C" w:rsidP="000C7257">
      <w:pPr>
        <w:jc w:val="both"/>
        <w:rPr>
          <w:rFonts w:ascii="Arial" w:hAnsi="Arial" w:cs="Arial"/>
          <w:color w:val="2E74B5" w:themeColor="accent5" w:themeShade="BF"/>
          <w:sz w:val="22"/>
          <w:szCs w:val="22"/>
        </w:rPr>
      </w:pPr>
    </w:p>
    <w:p w14:paraId="3C210BB2"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1) John R. Richards; Erik G. Laurin. NCBI Bookshelf. A service of the National Library of Medicine, National Institutes of Health. </w:t>
      </w:r>
      <w:proofErr w:type="spellStart"/>
      <w:r w:rsidRPr="000C7257">
        <w:rPr>
          <w:rFonts w:ascii="Arial" w:hAnsi="Arial" w:cs="Arial"/>
          <w:color w:val="2E74B5" w:themeColor="accent5" w:themeShade="BF"/>
          <w:sz w:val="20"/>
          <w:szCs w:val="20"/>
        </w:rPr>
        <w:t>StatPearls</w:t>
      </w:r>
      <w:proofErr w:type="spellEnd"/>
      <w:r w:rsidRPr="000C7257">
        <w:rPr>
          <w:rFonts w:ascii="Arial" w:hAnsi="Arial" w:cs="Arial"/>
          <w:color w:val="2E74B5" w:themeColor="accent5" w:themeShade="BF"/>
          <w:sz w:val="20"/>
          <w:szCs w:val="20"/>
        </w:rPr>
        <w:t xml:space="preserve"> [Internet]. Treasure Island (FL): </w:t>
      </w:r>
      <w:proofErr w:type="spellStart"/>
      <w:r w:rsidRPr="000C7257">
        <w:rPr>
          <w:rFonts w:ascii="Arial" w:hAnsi="Arial" w:cs="Arial"/>
          <w:color w:val="2E74B5" w:themeColor="accent5" w:themeShade="BF"/>
          <w:sz w:val="20"/>
          <w:szCs w:val="20"/>
        </w:rPr>
        <w:t>StatPearls</w:t>
      </w:r>
      <w:proofErr w:type="spellEnd"/>
      <w:r w:rsidRPr="000C7257">
        <w:rPr>
          <w:rFonts w:ascii="Arial" w:hAnsi="Arial" w:cs="Arial"/>
          <w:color w:val="2E74B5" w:themeColor="accent5" w:themeShade="BF"/>
          <w:sz w:val="20"/>
          <w:szCs w:val="20"/>
        </w:rPr>
        <w:t xml:space="preserve"> Publishing; 2022 Jan. “Methamphetamine Toxicity”</w:t>
      </w:r>
    </w:p>
    <w:p w14:paraId="5ACA7731"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2) Jayanthi S, </w:t>
      </w:r>
      <w:proofErr w:type="spellStart"/>
      <w:r w:rsidRPr="000C7257">
        <w:rPr>
          <w:rFonts w:ascii="Arial" w:hAnsi="Arial" w:cs="Arial"/>
          <w:color w:val="2E74B5" w:themeColor="accent5" w:themeShade="BF"/>
          <w:sz w:val="20"/>
          <w:szCs w:val="20"/>
        </w:rPr>
        <w:t>Daiwile</w:t>
      </w:r>
      <w:proofErr w:type="spellEnd"/>
      <w:r w:rsidRPr="000C7257">
        <w:rPr>
          <w:rFonts w:ascii="Arial" w:hAnsi="Arial" w:cs="Arial"/>
          <w:color w:val="2E74B5" w:themeColor="accent5" w:themeShade="BF"/>
          <w:sz w:val="20"/>
          <w:szCs w:val="20"/>
        </w:rPr>
        <w:t xml:space="preserve"> AP, Cadet JL. Exp Neurol. 2021 Oct;344:113795 (review)</w:t>
      </w:r>
    </w:p>
    <w:p w14:paraId="5CA1E95F" w14:textId="244B703D" w:rsidR="000C7257" w:rsidRPr="00DA1BB1"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3) </w:t>
      </w:r>
      <w:proofErr w:type="spellStart"/>
      <w:r w:rsidRPr="000C7257">
        <w:rPr>
          <w:rFonts w:ascii="Arial" w:hAnsi="Arial" w:cs="Arial"/>
          <w:color w:val="2E74B5" w:themeColor="accent5" w:themeShade="BF"/>
          <w:sz w:val="20"/>
          <w:szCs w:val="20"/>
        </w:rPr>
        <w:t>Moszczynska</w:t>
      </w:r>
      <w:proofErr w:type="spellEnd"/>
      <w:r w:rsidRPr="000C7257">
        <w:rPr>
          <w:rFonts w:ascii="Arial" w:hAnsi="Arial" w:cs="Arial"/>
          <w:color w:val="2E74B5" w:themeColor="accent5" w:themeShade="BF"/>
          <w:sz w:val="20"/>
          <w:szCs w:val="20"/>
        </w:rPr>
        <w:t xml:space="preserve"> A, Callan </w:t>
      </w:r>
      <w:proofErr w:type="gramStart"/>
      <w:r w:rsidRPr="000C7257">
        <w:rPr>
          <w:rFonts w:ascii="Arial" w:hAnsi="Arial" w:cs="Arial"/>
          <w:color w:val="2E74B5" w:themeColor="accent5" w:themeShade="BF"/>
          <w:sz w:val="20"/>
          <w:szCs w:val="20"/>
        </w:rPr>
        <w:t>SP.J</w:t>
      </w:r>
      <w:proofErr w:type="gramEnd"/>
      <w:r w:rsidRPr="000C7257">
        <w:rPr>
          <w:rFonts w:ascii="Arial" w:hAnsi="Arial" w:cs="Arial"/>
          <w:color w:val="2E74B5" w:themeColor="accent5" w:themeShade="BF"/>
          <w:sz w:val="20"/>
          <w:szCs w:val="20"/>
        </w:rPr>
        <w:t xml:space="preserve"> </w:t>
      </w:r>
      <w:proofErr w:type="spellStart"/>
      <w:r w:rsidRPr="000C7257">
        <w:rPr>
          <w:rFonts w:ascii="Arial" w:hAnsi="Arial" w:cs="Arial"/>
          <w:color w:val="2E74B5" w:themeColor="accent5" w:themeShade="BF"/>
          <w:sz w:val="20"/>
          <w:szCs w:val="20"/>
        </w:rPr>
        <w:t>Pharmacol</w:t>
      </w:r>
      <w:proofErr w:type="spellEnd"/>
      <w:r w:rsidRPr="000C7257">
        <w:rPr>
          <w:rFonts w:ascii="Arial" w:hAnsi="Arial" w:cs="Arial"/>
          <w:color w:val="2E74B5" w:themeColor="accent5" w:themeShade="BF"/>
          <w:sz w:val="20"/>
          <w:szCs w:val="20"/>
        </w:rPr>
        <w:t xml:space="preserve"> </w:t>
      </w:r>
      <w:proofErr w:type="spellStart"/>
      <w:r w:rsidRPr="000C7257">
        <w:rPr>
          <w:rFonts w:ascii="Arial" w:hAnsi="Arial" w:cs="Arial"/>
          <w:color w:val="2E74B5" w:themeColor="accent5" w:themeShade="BF"/>
          <w:sz w:val="20"/>
          <w:szCs w:val="20"/>
        </w:rPr>
        <w:t>Exp</w:t>
      </w:r>
      <w:proofErr w:type="spellEnd"/>
      <w:r w:rsidRPr="000C7257">
        <w:rPr>
          <w:rFonts w:ascii="Arial" w:hAnsi="Arial" w:cs="Arial"/>
          <w:color w:val="2E74B5" w:themeColor="accent5" w:themeShade="BF"/>
          <w:sz w:val="20"/>
          <w:szCs w:val="20"/>
        </w:rPr>
        <w:t xml:space="preserve"> </w:t>
      </w:r>
      <w:proofErr w:type="spellStart"/>
      <w:r w:rsidRPr="000C7257">
        <w:rPr>
          <w:rFonts w:ascii="Arial" w:hAnsi="Arial" w:cs="Arial"/>
          <w:color w:val="2E74B5" w:themeColor="accent5" w:themeShade="BF"/>
          <w:sz w:val="20"/>
          <w:szCs w:val="20"/>
        </w:rPr>
        <w:t>Ther</w:t>
      </w:r>
      <w:proofErr w:type="spellEnd"/>
      <w:r w:rsidRPr="000C7257">
        <w:rPr>
          <w:rFonts w:ascii="Arial" w:hAnsi="Arial" w:cs="Arial"/>
          <w:color w:val="2E74B5" w:themeColor="accent5" w:themeShade="BF"/>
          <w:sz w:val="20"/>
          <w:szCs w:val="20"/>
        </w:rPr>
        <w:t>. 2017 Sep;362(3):474-488 (review)</w:t>
      </w:r>
    </w:p>
    <w:p w14:paraId="274A3038" w14:textId="77777777" w:rsidR="00C64273" w:rsidRPr="00FB3565" w:rsidRDefault="00C64273" w:rsidP="00B4084E">
      <w:pPr>
        <w:jc w:val="both"/>
        <w:rPr>
          <w:rFonts w:ascii="Arial" w:hAnsi="Arial" w:cs="Arial"/>
          <w:sz w:val="22"/>
          <w:szCs w:val="22"/>
        </w:rPr>
      </w:pPr>
    </w:p>
    <w:p w14:paraId="685C91D6" w14:textId="7E18F6C8" w:rsidR="00B4084E" w:rsidRDefault="00B4084E" w:rsidP="00F53D99">
      <w:pPr>
        <w:jc w:val="both"/>
        <w:rPr>
          <w:rFonts w:ascii="Arial" w:hAnsi="Arial" w:cs="Arial"/>
          <w:sz w:val="22"/>
          <w:szCs w:val="22"/>
        </w:rPr>
      </w:pPr>
      <w:r w:rsidRPr="00FB3565">
        <w:rPr>
          <w:rFonts w:ascii="Arial" w:hAnsi="Arial" w:cs="Arial"/>
          <w:sz w:val="22"/>
          <w:szCs w:val="22"/>
        </w:rPr>
        <w:t xml:space="preserve">Line 146: “The genes around these </w:t>
      </w:r>
      <w:proofErr w:type="spellStart"/>
      <w:r w:rsidRPr="00FB3565">
        <w:rPr>
          <w:rFonts w:ascii="Arial" w:hAnsi="Arial" w:cs="Arial"/>
          <w:sz w:val="22"/>
          <w:szCs w:val="22"/>
        </w:rPr>
        <w:t>NAc</w:t>
      </w:r>
      <w:proofErr w:type="spellEnd"/>
      <w:r w:rsidRPr="00FB3565">
        <w:rPr>
          <w:rFonts w:ascii="Arial" w:hAnsi="Arial" w:cs="Arial"/>
          <w:sz w:val="22"/>
          <w:szCs w:val="22"/>
        </w:rPr>
        <w:t xml:space="preserve">-specific OCRs were …”; Did the authors use any additional methods to identify the function of identified ATAC-seq peaks? Comparison to previous ATAC-seq analysis of these brain regions? Comparison to enhancer screen data or </w:t>
      </w:r>
      <w:proofErr w:type="spellStart"/>
      <w:r w:rsidRPr="00FB3565">
        <w:rPr>
          <w:rFonts w:ascii="Arial" w:hAnsi="Arial" w:cs="Arial"/>
          <w:sz w:val="22"/>
          <w:szCs w:val="22"/>
        </w:rPr>
        <w:t>HiC</w:t>
      </w:r>
      <w:proofErr w:type="spellEnd"/>
      <w:r w:rsidRPr="00FB3565">
        <w:rPr>
          <w:rFonts w:ascii="Arial" w:hAnsi="Arial" w:cs="Arial"/>
          <w:sz w:val="22"/>
          <w:szCs w:val="22"/>
        </w:rPr>
        <w:t xml:space="preserve"> data in this region? The 'nearest gene' is only a limited interpretation of ATAC-seq peaks. Do the ATAC-seq peaks correlate with RNA-seq data in a region-specific manner? Perhaps the authors can summarize these additional; The authors have done this analysis, in part, as reported starting on line 281.</w:t>
      </w:r>
    </w:p>
    <w:p w14:paraId="1EC063E6" w14:textId="55C5312A" w:rsidR="00C64273" w:rsidRDefault="00C64273" w:rsidP="00F53D99">
      <w:pPr>
        <w:jc w:val="both"/>
        <w:rPr>
          <w:rFonts w:ascii="Arial" w:hAnsi="Arial" w:cs="Arial"/>
          <w:sz w:val="22"/>
          <w:szCs w:val="22"/>
        </w:rPr>
      </w:pPr>
    </w:p>
    <w:p w14:paraId="677C372F" w14:textId="1C44C561" w:rsidR="00716460" w:rsidRDefault="00C64273" w:rsidP="00963A2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22EA2">
        <w:rPr>
          <w:rFonts w:ascii="Arial" w:hAnsi="Arial" w:cs="Arial"/>
          <w:color w:val="2E74B5" w:themeColor="accent5" w:themeShade="BF"/>
          <w:sz w:val="22"/>
          <w:szCs w:val="22"/>
        </w:rPr>
        <w:t xml:space="preserve"> To identify potential function of region-specific OCRs, we first explored the genomic distribution of </w:t>
      </w:r>
      <w:r w:rsidR="00722EA2" w:rsidRPr="00722EA2">
        <w:rPr>
          <w:rFonts w:ascii="Arial" w:hAnsi="Arial" w:cs="Arial"/>
          <w:color w:val="2E74B5" w:themeColor="accent5" w:themeShade="BF"/>
          <w:sz w:val="22"/>
          <w:szCs w:val="22"/>
        </w:rPr>
        <w:t>region-specific OCRs and the distance to TSS in 4 rat brain regions</w:t>
      </w:r>
      <w:r w:rsidR="00722EA2">
        <w:rPr>
          <w:rFonts w:ascii="Arial" w:hAnsi="Arial" w:cs="Arial"/>
          <w:color w:val="2E74B5" w:themeColor="accent5" w:themeShade="BF"/>
          <w:sz w:val="22"/>
          <w:szCs w:val="22"/>
        </w:rPr>
        <w:t xml:space="preserve"> (</w:t>
      </w:r>
      <w:r w:rsidR="00722EA2" w:rsidRPr="00722EA2">
        <w:rPr>
          <w:rFonts w:ascii="Arial" w:hAnsi="Arial" w:cs="Arial"/>
          <w:color w:val="2E74B5" w:themeColor="accent5" w:themeShade="BF"/>
          <w:sz w:val="22"/>
          <w:szCs w:val="22"/>
        </w:rPr>
        <w:t>Supplementary Fig. 1c and d</w:t>
      </w:r>
      <w:r w:rsidR="00722EA2">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 xml:space="preserve">Most of region-specific OCRs located in the </w:t>
      </w:r>
      <w:proofErr w:type="spellStart"/>
      <w:r w:rsidR="00963A2E" w:rsidRPr="00963A2E">
        <w:rPr>
          <w:rFonts w:ascii="Arial" w:hAnsi="Arial" w:cs="Arial"/>
          <w:color w:val="2E74B5" w:themeColor="accent5" w:themeShade="BF"/>
          <w:sz w:val="22"/>
          <w:szCs w:val="22"/>
        </w:rPr>
        <w:t>introgenic</w:t>
      </w:r>
      <w:proofErr w:type="spellEnd"/>
      <w:r w:rsidR="00963A2E" w:rsidRPr="00963A2E">
        <w:rPr>
          <w:rFonts w:ascii="Arial" w:hAnsi="Arial" w:cs="Arial"/>
          <w:color w:val="2E74B5" w:themeColor="accent5" w:themeShade="BF"/>
          <w:sz w:val="22"/>
          <w:szCs w:val="22"/>
        </w:rPr>
        <w:t xml:space="preserve"> and intergenic regions and about 20kb away from the TSS, indicating the potential enhancer function.</w:t>
      </w:r>
      <w:r w:rsidR="00963A2E">
        <w:rPr>
          <w:rFonts w:ascii="Arial" w:hAnsi="Arial" w:cs="Arial"/>
          <w:color w:val="2E74B5" w:themeColor="accent5" w:themeShade="BF"/>
          <w:sz w:val="22"/>
          <w:szCs w:val="22"/>
        </w:rPr>
        <w:t xml:space="preserve"> Next, we used the orthologous regions in mouse genome of those region-specific OCRs to overlap annotated mouse cis-regulatory elements from ENCODE, including </w:t>
      </w:r>
      <w:r w:rsidR="00963A2E" w:rsidRPr="00963A2E">
        <w:rPr>
          <w:rFonts w:ascii="Arial" w:hAnsi="Arial" w:cs="Arial"/>
          <w:color w:val="2E74B5" w:themeColor="accent5" w:themeShade="BF"/>
          <w:sz w:val="22"/>
          <w:szCs w:val="22"/>
        </w:rPr>
        <w:t>promoter, proximal and</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distal enhancer</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CTCF-</w:t>
      </w:r>
      <w:r w:rsidR="00963A2E" w:rsidRPr="00963A2E">
        <w:rPr>
          <w:rFonts w:ascii="Arial" w:hAnsi="Arial" w:cs="Arial"/>
          <w:color w:val="2E74B5" w:themeColor="accent5" w:themeShade="BF"/>
          <w:sz w:val="22"/>
          <w:szCs w:val="22"/>
        </w:rPr>
        <w:lastRenderedPageBreak/>
        <w:t>only</w:t>
      </w:r>
      <w:r w:rsidR="00963A2E">
        <w:rPr>
          <w:rFonts w:ascii="Arial" w:hAnsi="Arial" w:cs="Arial"/>
          <w:color w:val="2E74B5" w:themeColor="accent5" w:themeShade="BF"/>
          <w:sz w:val="22"/>
          <w:szCs w:val="22"/>
        </w:rPr>
        <w:t xml:space="preserve"> and</w:t>
      </w:r>
      <w:r w:rsidR="00963A2E" w:rsidRPr="00963A2E">
        <w:rPr>
          <w:rFonts w:ascii="Arial" w:hAnsi="Arial" w:cs="Arial"/>
          <w:color w:val="2E74B5" w:themeColor="accent5" w:themeShade="BF"/>
          <w:sz w:val="22"/>
          <w:szCs w:val="22"/>
        </w:rPr>
        <w:t xml:space="preserve"> DNase-H3K4me3</w:t>
      </w:r>
      <w:r w:rsidR="00E373A8">
        <w:rPr>
          <w:rFonts w:ascii="Arial" w:hAnsi="Arial" w:cs="Arial"/>
          <w:color w:val="2E74B5" w:themeColor="accent5" w:themeShade="BF"/>
          <w:sz w:val="22"/>
          <w:szCs w:val="22"/>
        </w:rPr>
        <w:t xml:space="preserve"> (</w:t>
      </w:r>
      <w:r w:rsidR="000314DF">
        <w:rPr>
          <w:rFonts w:ascii="Arial" w:hAnsi="Arial" w:cs="Arial"/>
          <w:color w:val="2E74B5" w:themeColor="accent5" w:themeShade="BF"/>
          <w:sz w:val="22"/>
          <w:szCs w:val="22"/>
        </w:rPr>
        <w:t>a</w:t>
      </w:r>
      <w:r w:rsidR="00E373A8">
        <w:rPr>
          <w:rFonts w:ascii="Arial" w:hAnsi="Arial" w:cs="Arial"/>
          <w:color w:val="2E74B5" w:themeColor="accent5" w:themeShade="BF"/>
          <w:sz w:val="22"/>
          <w:szCs w:val="22"/>
        </w:rPr>
        <w:t>)</w:t>
      </w:r>
      <w:r w:rsidR="00963A2E">
        <w:rPr>
          <w:rFonts w:ascii="Arial" w:hAnsi="Arial" w:cs="Arial"/>
          <w:color w:val="2E74B5" w:themeColor="accent5" w:themeShade="BF"/>
          <w:sz w:val="22"/>
          <w:szCs w:val="22"/>
        </w:rPr>
        <w:t xml:space="preserve">. </w:t>
      </w:r>
      <w:r w:rsidR="00E373A8">
        <w:rPr>
          <w:rFonts w:ascii="Arial" w:hAnsi="Arial" w:cs="Arial"/>
          <w:color w:val="2E74B5" w:themeColor="accent5" w:themeShade="BF"/>
          <w:sz w:val="22"/>
          <w:szCs w:val="22"/>
        </w:rPr>
        <w:t>Besides about half of region-specific OCRs without cis-regulatory annotation, about 20 ~30% of those OCRs showed enhancer functions and very few intersected with promoter regions.</w:t>
      </w:r>
    </w:p>
    <w:p w14:paraId="1554CF71" w14:textId="71A6DFAD" w:rsidR="000314DF" w:rsidRDefault="000314DF" w:rsidP="00963A2E">
      <w:pPr>
        <w:jc w:val="both"/>
        <w:rPr>
          <w:rFonts w:ascii="Arial" w:hAnsi="Arial" w:cs="Arial"/>
          <w:color w:val="2E74B5" w:themeColor="accent5" w:themeShade="BF"/>
          <w:sz w:val="22"/>
          <w:szCs w:val="22"/>
        </w:rPr>
      </w:pPr>
    </w:p>
    <w:p w14:paraId="29DFEC31" w14:textId="656D10CC" w:rsidR="000314DF" w:rsidRDefault="000314DF" w:rsidP="00963A2E">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To </w:t>
      </w:r>
      <w:r w:rsidR="002C7B2A">
        <w:rPr>
          <w:rFonts w:ascii="Arial" w:hAnsi="Arial" w:cs="Arial"/>
          <w:color w:val="2E74B5" w:themeColor="accent5" w:themeShade="BF"/>
          <w:sz w:val="22"/>
          <w:szCs w:val="22"/>
        </w:rPr>
        <w:t>study</w:t>
      </w:r>
      <w:r>
        <w:rPr>
          <w:rFonts w:ascii="Arial" w:hAnsi="Arial" w:cs="Arial"/>
          <w:color w:val="2E74B5" w:themeColor="accent5" w:themeShade="BF"/>
          <w:sz w:val="22"/>
          <w:szCs w:val="22"/>
        </w:rPr>
        <w:t xml:space="preserve"> the correlation between RNA-seq and ATAC-seq data at region-specific level, </w:t>
      </w:r>
      <w:r w:rsidR="002E1D3C">
        <w:rPr>
          <w:rFonts w:ascii="Arial" w:hAnsi="Arial" w:cs="Arial" w:hint="eastAsia"/>
          <w:color w:val="2E74B5" w:themeColor="accent5" w:themeShade="BF"/>
          <w:sz w:val="22"/>
          <w:szCs w:val="22"/>
        </w:rPr>
        <w:t>w</w:t>
      </w:r>
      <w:r w:rsidR="002E1D3C">
        <w:rPr>
          <w:rFonts w:ascii="Arial" w:hAnsi="Arial" w:cs="Arial"/>
          <w:color w:val="2E74B5" w:themeColor="accent5" w:themeShade="BF"/>
          <w:sz w:val="22"/>
          <w:szCs w:val="22"/>
        </w:rPr>
        <w:t>e first identif</w:t>
      </w:r>
      <w:r w:rsidR="002C7B2A">
        <w:rPr>
          <w:rFonts w:ascii="Arial" w:hAnsi="Arial" w:cs="Arial"/>
          <w:color w:val="2E74B5" w:themeColor="accent5" w:themeShade="BF"/>
          <w:sz w:val="22"/>
          <w:szCs w:val="22"/>
        </w:rPr>
        <w:t>ied</w:t>
      </w:r>
      <w:r w:rsidR="002E1D3C">
        <w:rPr>
          <w:rFonts w:ascii="Arial" w:hAnsi="Arial" w:cs="Arial"/>
          <w:color w:val="2E74B5" w:themeColor="accent5" w:themeShade="BF"/>
          <w:sz w:val="22"/>
          <w:szCs w:val="22"/>
        </w:rPr>
        <w:t xml:space="preserve"> the OCRs intersected with promoter region</w:t>
      </w:r>
      <w:r w:rsidR="002C7B2A">
        <w:rPr>
          <w:rFonts w:ascii="Arial" w:hAnsi="Arial" w:cs="Arial"/>
          <w:color w:val="2E74B5" w:themeColor="accent5" w:themeShade="BF"/>
          <w:sz w:val="22"/>
          <w:szCs w:val="22"/>
        </w:rPr>
        <w:t xml:space="preserve"> (1k around TSS)</w:t>
      </w:r>
      <w:r w:rsidR="002E1D3C">
        <w:rPr>
          <w:rFonts w:ascii="Arial" w:hAnsi="Arial" w:cs="Arial"/>
          <w:color w:val="2E74B5" w:themeColor="accent5" w:themeShade="BF"/>
          <w:sz w:val="22"/>
          <w:szCs w:val="22"/>
        </w:rPr>
        <w:t xml:space="preserve"> of </w:t>
      </w:r>
      <w:r w:rsidR="002C7B2A">
        <w:rPr>
          <w:rFonts w:ascii="Arial" w:hAnsi="Arial" w:cs="Arial"/>
          <w:color w:val="2E74B5" w:themeColor="accent5" w:themeShade="BF"/>
          <w:sz w:val="22"/>
          <w:szCs w:val="22"/>
        </w:rPr>
        <w:t>region-specific genes. Next, we explored log2-foldchange</w:t>
      </w:r>
      <w:r w:rsidR="00625740">
        <w:rPr>
          <w:rFonts w:ascii="Arial" w:hAnsi="Arial" w:cs="Arial"/>
          <w:color w:val="2E74B5" w:themeColor="accent5" w:themeShade="BF"/>
          <w:sz w:val="22"/>
          <w:szCs w:val="22"/>
        </w:rPr>
        <w:t xml:space="preserve"> distribution</w:t>
      </w:r>
      <w:r w:rsidR="002C7B2A">
        <w:rPr>
          <w:rFonts w:ascii="Arial" w:hAnsi="Arial" w:cs="Arial"/>
          <w:color w:val="2E74B5" w:themeColor="accent5" w:themeShade="BF"/>
          <w:sz w:val="22"/>
          <w:szCs w:val="22"/>
        </w:rPr>
        <w:t xml:space="preserve"> of those OCRs’ signal and region-specific genes’ expression</w:t>
      </w:r>
      <w:r w:rsidR="00625740">
        <w:rPr>
          <w:rFonts w:ascii="Arial" w:hAnsi="Arial" w:cs="Arial"/>
          <w:color w:val="2E74B5" w:themeColor="accent5" w:themeShade="BF"/>
          <w:sz w:val="22"/>
          <w:szCs w:val="22"/>
        </w:rPr>
        <w:t xml:space="preserve"> at one brain region comparing to other brain regions, </w:t>
      </w:r>
      <w:r w:rsidR="00135F99">
        <w:rPr>
          <w:rFonts w:ascii="Arial" w:hAnsi="Arial" w:cs="Arial"/>
          <w:color w:val="2E74B5" w:themeColor="accent5" w:themeShade="BF"/>
          <w:sz w:val="22"/>
          <w:szCs w:val="22"/>
        </w:rPr>
        <w:t>also</w:t>
      </w:r>
      <w:r w:rsidR="00625740">
        <w:rPr>
          <w:rFonts w:ascii="Arial" w:hAnsi="Arial" w:cs="Arial"/>
          <w:color w:val="2E74B5" w:themeColor="accent5" w:themeShade="BF"/>
          <w:sz w:val="22"/>
          <w:szCs w:val="22"/>
        </w:rPr>
        <w:t xml:space="preserve"> </w:t>
      </w:r>
      <w:r w:rsidR="002C7B2A">
        <w:rPr>
          <w:rFonts w:ascii="Arial" w:hAnsi="Arial" w:cs="Arial"/>
          <w:color w:val="2E74B5" w:themeColor="accent5" w:themeShade="BF"/>
          <w:sz w:val="22"/>
          <w:szCs w:val="22"/>
        </w:rPr>
        <w:t>calculated the correlation between region-specific genes and OCRs</w:t>
      </w:r>
      <w:r w:rsidR="00135F99">
        <w:rPr>
          <w:rFonts w:ascii="Arial" w:hAnsi="Arial" w:cs="Arial"/>
          <w:color w:val="2E74B5" w:themeColor="accent5" w:themeShade="BF"/>
          <w:sz w:val="22"/>
          <w:szCs w:val="22"/>
        </w:rPr>
        <w:t xml:space="preserve"> (b)</w:t>
      </w:r>
      <w:r w:rsidR="002C7B2A">
        <w:rPr>
          <w:rFonts w:ascii="Arial" w:hAnsi="Arial" w:cs="Arial"/>
          <w:color w:val="2E74B5" w:themeColor="accent5" w:themeShade="BF"/>
          <w:sz w:val="22"/>
          <w:szCs w:val="22"/>
        </w:rPr>
        <w:t xml:space="preserve">. </w:t>
      </w:r>
      <w:r w:rsidR="00F4187E">
        <w:rPr>
          <w:rFonts w:ascii="Arial" w:hAnsi="Arial" w:cs="Arial" w:hint="eastAsia"/>
          <w:color w:val="2E74B5" w:themeColor="accent5" w:themeShade="BF"/>
          <w:sz w:val="22"/>
          <w:szCs w:val="22"/>
        </w:rPr>
        <w:t>T</w:t>
      </w:r>
      <w:r w:rsidR="00F4187E">
        <w:rPr>
          <w:rFonts w:ascii="Arial" w:hAnsi="Arial" w:cs="Arial"/>
          <w:color w:val="2E74B5" w:themeColor="accent5" w:themeShade="BF"/>
          <w:sz w:val="22"/>
          <w:szCs w:val="22"/>
        </w:rPr>
        <w:t>h</w:t>
      </w:r>
      <w:r w:rsidR="00F4187E">
        <w:rPr>
          <w:rFonts w:ascii="Arial" w:hAnsi="Arial" w:cs="Arial" w:hint="eastAsia"/>
          <w:color w:val="2E74B5" w:themeColor="accent5" w:themeShade="BF"/>
          <w:sz w:val="22"/>
          <w:szCs w:val="22"/>
        </w:rPr>
        <w:t>e</w:t>
      </w:r>
      <w:r w:rsidR="00F4187E">
        <w:rPr>
          <w:rFonts w:ascii="Arial" w:hAnsi="Arial" w:cs="Arial"/>
          <w:color w:val="2E74B5" w:themeColor="accent5" w:themeShade="BF"/>
          <w:sz w:val="22"/>
          <w:szCs w:val="22"/>
        </w:rPr>
        <w:t xml:space="preserve"> region-specific genes and the corresponding promoter OCRs showed relative high correlation</w:t>
      </w:r>
      <w:r w:rsidR="00661E8C">
        <w:rPr>
          <w:rFonts w:ascii="Arial" w:hAnsi="Arial" w:cs="Arial"/>
          <w:color w:val="2E74B5" w:themeColor="accent5" w:themeShade="BF"/>
          <w:sz w:val="22"/>
          <w:szCs w:val="22"/>
        </w:rPr>
        <w:t xml:space="preserve">, especially for those with OCRs showing significant difference between one brain region against other three brain regions. </w:t>
      </w:r>
    </w:p>
    <w:p w14:paraId="04788E8F" w14:textId="77777777" w:rsidR="00135F99" w:rsidRDefault="00135F99" w:rsidP="00716460">
      <w:pPr>
        <w:jc w:val="center"/>
        <w:rPr>
          <w:rFonts w:ascii="Arial" w:hAnsi="Arial" w:cs="Arial"/>
          <w:color w:val="2E74B5" w:themeColor="accent5" w:themeShade="BF"/>
          <w:sz w:val="22"/>
          <w:szCs w:val="22"/>
        </w:rPr>
      </w:pPr>
    </w:p>
    <w:p w14:paraId="7F818443" w14:textId="420A0D76" w:rsidR="00135F99" w:rsidRDefault="00135F99" w:rsidP="00135F99">
      <w:pPr>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                              a.</w:t>
      </w:r>
    </w:p>
    <w:p w14:paraId="65FBE7CE" w14:textId="59077EC8" w:rsidR="00716460" w:rsidRDefault="00716460" w:rsidP="00716460">
      <w:pPr>
        <w:jc w:val="center"/>
        <w:rPr>
          <w:rFonts w:ascii="Arial" w:hAnsi="Arial" w:cs="Arial"/>
          <w:color w:val="2E74B5" w:themeColor="accent5" w:themeShade="BF"/>
          <w:sz w:val="22"/>
          <w:szCs w:val="22"/>
        </w:rPr>
      </w:pPr>
      <w:r w:rsidRPr="00716460">
        <w:rPr>
          <w:rFonts w:ascii="Arial" w:hAnsi="Arial" w:cs="Arial"/>
          <w:noProof/>
          <w:color w:val="2E74B5" w:themeColor="accent5" w:themeShade="BF"/>
          <w:sz w:val="22"/>
          <w:szCs w:val="22"/>
        </w:rPr>
        <w:drawing>
          <wp:inline distT="0" distB="0" distL="0" distR="0" wp14:anchorId="11F4903C" wp14:editId="55C72989">
            <wp:extent cx="3363304" cy="1586429"/>
            <wp:effectExtent l="0" t="0" r="2540" b="1270"/>
            <wp:docPr id="4" name="Picture 3">
              <a:extLst xmlns:a="http://schemas.openxmlformats.org/drawingml/2006/main">
                <a:ext uri="{FF2B5EF4-FFF2-40B4-BE49-F238E27FC236}">
                  <a16:creationId xmlns:a16="http://schemas.microsoft.com/office/drawing/2014/main" id="{5E198DE6-8E81-02BC-5C32-4CDF589DCB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E198DE6-8E81-02BC-5C32-4CDF589DCBAF}"/>
                        </a:ext>
                      </a:extLst>
                    </pic:cNvPr>
                    <pic:cNvPicPr>
                      <a:picLocks noChangeAspect="1"/>
                    </pic:cNvPicPr>
                  </pic:nvPicPr>
                  <pic:blipFill>
                    <a:blip r:embed="rId14"/>
                    <a:stretch>
                      <a:fillRect/>
                    </a:stretch>
                  </pic:blipFill>
                  <pic:spPr>
                    <a:xfrm>
                      <a:off x="0" y="0"/>
                      <a:ext cx="3521183" cy="1660898"/>
                    </a:xfrm>
                    <a:prstGeom prst="rect">
                      <a:avLst/>
                    </a:prstGeom>
                  </pic:spPr>
                </pic:pic>
              </a:graphicData>
            </a:graphic>
          </wp:inline>
        </w:drawing>
      </w:r>
    </w:p>
    <w:p w14:paraId="0F97A131" w14:textId="3738E88C" w:rsidR="00F4187E" w:rsidRDefault="00F4187E" w:rsidP="00F4187E">
      <w:pPr>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                              b.</w:t>
      </w:r>
    </w:p>
    <w:p w14:paraId="1D3E0E17" w14:textId="7B65F8AC" w:rsidR="00F4187E" w:rsidRDefault="00F4187E" w:rsidP="00F4187E">
      <w:pPr>
        <w:jc w:val="center"/>
        <w:rPr>
          <w:rFonts w:ascii="Arial" w:hAnsi="Arial" w:cs="Arial"/>
          <w:color w:val="2E74B5" w:themeColor="accent5" w:themeShade="BF"/>
          <w:sz w:val="22"/>
          <w:szCs w:val="22"/>
        </w:rPr>
      </w:pPr>
      <w:r w:rsidRPr="00F4187E">
        <w:rPr>
          <w:rFonts w:ascii="Arial" w:hAnsi="Arial" w:cs="Arial"/>
          <w:noProof/>
          <w:color w:val="2E74B5" w:themeColor="accent5" w:themeShade="BF"/>
          <w:sz w:val="22"/>
          <w:szCs w:val="22"/>
        </w:rPr>
        <w:drawing>
          <wp:inline distT="0" distB="0" distL="0" distR="0" wp14:anchorId="1201D4CD" wp14:editId="1B85BDE6">
            <wp:extent cx="3018702" cy="3442771"/>
            <wp:effectExtent l="0" t="0" r="4445" b="0"/>
            <wp:docPr id="1" name="Picture 5">
              <a:extLst xmlns:a="http://schemas.openxmlformats.org/drawingml/2006/main">
                <a:ext uri="{FF2B5EF4-FFF2-40B4-BE49-F238E27FC236}">
                  <a16:creationId xmlns:a16="http://schemas.microsoft.com/office/drawing/2014/main" id="{3C65300A-F6C2-4CD6-A3B5-7A1B465E96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C65300A-F6C2-4CD6-A3B5-7A1B465E96D6}"/>
                        </a:ext>
                      </a:extLst>
                    </pic:cNvPr>
                    <pic:cNvPicPr>
                      <a:picLocks noChangeAspect="1"/>
                    </pic:cNvPicPr>
                  </pic:nvPicPr>
                  <pic:blipFill>
                    <a:blip r:embed="rId15"/>
                    <a:stretch>
                      <a:fillRect/>
                    </a:stretch>
                  </pic:blipFill>
                  <pic:spPr>
                    <a:xfrm>
                      <a:off x="0" y="0"/>
                      <a:ext cx="3033261" cy="3459375"/>
                    </a:xfrm>
                    <a:prstGeom prst="rect">
                      <a:avLst/>
                    </a:prstGeom>
                  </pic:spPr>
                </pic:pic>
              </a:graphicData>
            </a:graphic>
          </wp:inline>
        </w:drawing>
      </w:r>
    </w:p>
    <w:p w14:paraId="54B52041" w14:textId="77777777" w:rsidR="00E373A8" w:rsidRPr="00963A2E" w:rsidRDefault="00E373A8" w:rsidP="00963A2E">
      <w:pPr>
        <w:jc w:val="both"/>
        <w:rPr>
          <w:rFonts w:ascii="Arial" w:hAnsi="Arial" w:cs="Arial"/>
          <w:color w:val="2E74B5" w:themeColor="accent5" w:themeShade="BF"/>
          <w:sz w:val="22"/>
          <w:szCs w:val="22"/>
        </w:rPr>
      </w:pPr>
    </w:p>
    <w:p w14:paraId="2AC2B0CD" w14:textId="36E03FC4" w:rsidR="00B4084E" w:rsidRDefault="00B4084E" w:rsidP="00B4084E">
      <w:pPr>
        <w:jc w:val="both"/>
        <w:rPr>
          <w:rFonts w:ascii="Arial" w:hAnsi="Arial" w:cs="Arial"/>
          <w:sz w:val="22"/>
          <w:szCs w:val="22"/>
        </w:rPr>
      </w:pPr>
      <w:r w:rsidRPr="00FB3565">
        <w:rPr>
          <w:rFonts w:ascii="Arial" w:hAnsi="Arial" w:cs="Arial"/>
          <w:sz w:val="22"/>
          <w:szCs w:val="22"/>
        </w:rPr>
        <w:t>Line 158: “indicating that the DG is the brain region that is most sensitive to METH overdose.”; This conclusion does not follow from the data. Remove or revise for accuracy. DEG number is not a reliable indicator of 'sensitivity' to drug exposure.</w:t>
      </w:r>
    </w:p>
    <w:p w14:paraId="53FB2183" w14:textId="64417A3A" w:rsidR="00C64273" w:rsidRDefault="00C64273" w:rsidP="00B4084E">
      <w:pPr>
        <w:jc w:val="both"/>
        <w:rPr>
          <w:rFonts w:ascii="Arial" w:hAnsi="Arial" w:cs="Arial"/>
          <w:sz w:val="22"/>
          <w:szCs w:val="22"/>
        </w:rPr>
      </w:pPr>
    </w:p>
    <w:p w14:paraId="3EFAE288" w14:textId="03B21E0D" w:rsidR="00C64273" w:rsidRPr="00731ACA" w:rsidRDefault="00C64273" w:rsidP="00731ACA">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1838A4">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 xml:space="preserve">We </w:t>
      </w:r>
      <w:r w:rsidR="00731ACA">
        <w:rPr>
          <w:rFonts w:ascii="Arial" w:hAnsi="Arial" w:cs="Arial"/>
          <w:color w:val="2E74B5" w:themeColor="accent5" w:themeShade="BF"/>
          <w:sz w:val="22"/>
          <w:szCs w:val="22"/>
        </w:rPr>
        <w:t>revised</w:t>
      </w:r>
      <w:r w:rsidR="00731ACA" w:rsidRPr="00731ACA">
        <w:rPr>
          <w:rFonts w:ascii="Arial" w:hAnsi="Arial" w:cs="Arial"/>
          <w:color w:val="2E74B5" w:themeColor="accent5" w:themeShade="BF"/>
          <w:sz w:val="22"/>
          <w:szCs w:val="22"/>
        </w:rPr>
        <w:t xml:space="preserve"> the sentence</w:t>
      </w:r>
      <w:r w:rsidR="00731ACA">
        <w:rPr>
          <w:rFonts w:ascii="Arial" w:hAnsi="Arial" w:cs="Arial"/>
          <w:color w:val="2E74B5" w:themeColor="accent5" w:themeShade="BF"/>
          <w:sz w:val="22"/>
          <w:szCs w:val="22"/>
        </w:rPr>
        <w:t xml:space="preserve"> in our manuscript. “</w:t>
      </w:r>
      <w:r w:rsidR="00731ACA" w:rsidRPr="00731ACA">
        <w:rPr>
          <w:rFonts w:ascii="Arial" w:hAnsi="Arial" w:cs="Arial"/>
          <w:color w:val="2E74B5" w:themeColor="accent5" w:themeShade="BF"/>
          <w:sz w:val="22"/>
          <w:szCs w:val="22"/>
        </w:rPr>
        <w:t>We identified 1,209 DEGs in the DG,</w:t>
      </w:r>
      <w:r w:rsidR="00731ACA">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the highest number among all four areas, indicating that</w:t>
      </w:r>
      <w:r w:rsidR="00731ACA">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out of the four regions examined</w:t>
      </w:r>
      <w:r w:rsidR="00731ACA">
        <w:rPr>
          <w:rFonts w:ascii="Arial" w:hAnsi="Arial" w:cs="Arial"/>
          <w:color w:val="2E74B5" w:themeColor="accent5" w:themeShade="BF"/>
          <w:sz w:val="22"/>
          <w:szCs w:val="22"/>
        </w:rPr>
        <w:t xml:space="preserve">, the </w:t>
      </w:r>
      <w:r w:rsidR="00731ACA" w:rsidRPr="00731ACA">
        <w:rPr>
          <w:rFonts w:ascii="Arial" w:hAnsi="Arial" w:cs="Arial"/>
          <w:color w:val="2E74B5" w:themeColor="accent5" w:themeShade="BF"/>
          <w:sz w:val="22"/>
          <w:szCs w:val="22"/>
        </w:rPr>
        <w:t>METH overdose</w:t>
      </w:r>
      <w:r w:rsidR="00731ACA">
        <w:rPr>
          <w:rFonts w:ascii="Arial" w:hAnsi="Arial" w:cs="Arial"/>
          <w:color w:val="2E74B5" w:themeColor="accent5" w:themeShade="BF"/>
          <w:sz w:val="22"/>
          <w:szCs w:val="22"/>
        </w:rPr>
        <w:t xml:space="preserve"> had greatest influence on DG region</w:t>
      </w:r>
      <w:r w:rsidR="00731ACA" w:rsidRPr="00731ACA">
        <w:rPr>
          <w:rFonts w:ascii="Arial" w:hAnsi="Arial" w:cs="Arial"/>
          <w:color w:val="2E74B5" w:themeColor="accent5" w:themeShade="BF"/>
          <w:sz w:val="22"/>
          <w:szCs w:val="22"/>
        </w:rPr>
        <w:t xml:space="preserve"> (Fig. 2a).</w:t>
      </w:r>
      <w:r w:rsidR="00731ACA">
        <w:rPr>
          <w:rFonts w:ascii="Arial" w:hAnsi="Arial" w:cs="Arial"/>
          <w:color w:val="2E74B5" w:themeColor="accent5" w:themeShade="BF"/>
          <w:sz w:val="22"/>
          <w:szCs w:val="22"/>
        </w:rPr>
        <w:t>”</w:t>
      </w:r>
    </w:p>
    <w:p w14:paraId="2B5C0A9E" w14:textId="77777777" w:rsidR="00C64273" w:rsidRPr="00FB3565" w:rsidRDefault="00C64273" w:rsidP="00B4084E">
      <w:pPr>
        <w:jc w:val="both"/>
        <w:rPr>
          <w:rFonts w:ascii="Arial" w:hAnsi="Arial" w:cs="Arial"/>
          <w:sz w:val="22"/>
          <w:szCs w:val="22"/>
        </w:rPr>
      </w:pPr>
    </w:p>
    <w:p w14:paraId="315CD4E9" w14:textId="0510135D" w:rsidR="00B4084E" w:rsidRDefault="00B4084E" w:rsidP="00B4084E">
      <w:pPr>
        <w:jc w:val="both"/>
        <w:rPr>
          <w:rFonts w:ascii="Arial" w:hAnsi="Arial" w:cs="Arial"/>
          <w:sz w:val="22"/>
          <w:szCs w:val="22"/>
        </w:rPr>
      </w:pPr>
      <w:r w:rsidRPr="00FB3565">
        <w:rPr>
          <w:rFonts w:ascii="Arial" w:hAnsi="Arial" w:cs="Arial"/>
          <w:sz w:val="22"/>
          <w:szCs w:val="22"/>
        </w:rPr>
        <w:t>Line 194: Please remove or revise '</w:t>
      </w:r>
      <w:proofErr w:type="spellStart"/>
      <w:r w:rsidRPr="00FB3565">
        <w:rPr>
          <w:rFonts w:ascii="Arial" w:hAnsi="Arial" w:cs="Arial"/>
          <w:sz w:val="22"/>
          <w:szCs w:val="22"/>
        </w:rPr>
        <w:t>epifactor</w:t>
      </w:r>
      <w:proofErr w:type="spellEnd"/>
      <w:r w:rsidRPr="00FB3565">
        <w:rPr>
          <w:rFonts w:ascii="Arial" w:hAnsi="Arial" w:cs="Arial"/>
          <w:sz w:val="22"/>
          <w:szCs w:val="22"/>
        </w:rPr>
        <w:t>' to common scientific terminology.</w:t>
      </w:r>
    </w:p>
    <w:p w14:paraId="54C38098" w14:textId="31C7DCC1" w:rsidR="00C64273" w:rsidRDefault="00C64273" w:rsidP="00B4084E">
      <w:pPr>
        <w:jc w:val="both"/>
        <w:rPr>
          <w:rFonts w:ascii="Arial" w:hAnsi="Arial" w:cs="Arial"/>
          <w:sz w:val="22"/>
          <w:szCs w:val="22"/>
        </w:rPr>
      </w:pPr>
    </w:p>
    <w:p w14:paraId="5B6C9DCC" w14:textId="7B04950A" w:rsidR="00C64273" w:rsidRDefault="00C64273" w:rsidP="00B4084E">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31ACA">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In manuscript, we revised ‘</w:t>
      </w:r>
      <w:proofErr w:type="spellStart"/>
      <w:r w:rsidR="00731ACA" w:rsidRPr="00731ACA">
        <w:rPr>
          <w:rFonts w:ascii="Arial" w:hAnsi="Arial" w:cs="Arial"/>
          <w:color w:val="2E74B5" w:themeColor="accent5" w:themeShade="BF"/>
          <w:sz w:val="22"/>
          <w:szCs w:val="22"/>
        </w:rPr>
        <w:t>epifactor</w:t>
      </w:r>
      <w:proofErr w:type="spellEnd"/>
      <w:r w:rsidR="00731ACA" w:rsidRPr="00731ACA">
        <w:rPr>
          <w:rFonts w:ascii="Arial" w:hAnsi="Arial" w:cs="Arial"/>
          <w:color w:val="2E74B5" w:themeColor="accent5" w:themeShade="BF"/>
          <w:sz w:val="22"/>
          <w:szCs w:val="22"/>
        </w:rPr>
        <w:t>’ to ‘</w:t>
      </w:r>
      <w:bookmarkStart w:id="29" w:name="OLE_LINK163"/>
      <w:bookmarkStart w:id="30" w:name="OLE_LINK164"/>
      <w:r w:rsidR="00731ACA" w:rsidRPr="00731ACA">
        <w:rPr>
          <w:rFonts w:ascii="Arial" w:hAnsi="Arial" w:cs="Arial"/>
          <w:color w:val="2E74B5" w:themeColor="accent5" w:themeShade="BF"/>
          <w:sz w:val="22"/>
          <w:szCs w:val="22"/>
        </w:rPr>
        <w:t>Epigenetic-Facto</w:t>
      </w:r>
      <w:r w:rsidR="00731ACA">
        <w:rPr>
          <w:rFonts w:ascii="Arial" w:hAnsi="Arial" w:cs="Arial"/>
          <w:color w:val="2E74B5" w:themeColor="accent5" w:themeShade="BF"/>
          <w:sz w:val="22"/>
          <w:szCs w:val="22"/>
        </w:rPr>
        <w:t>r</w:t>
      </w:r>
      <w:r w:rsidR="00731ACA" w:rsidRPr="00731ACA">
        <w:rPr>
          <w:rFonts w:ascii="Arial" w:hAnsi="Arial" w:cs="Arial"/>
          <w:color w:val="2E74B5" w:themeColor="accent5" w:themeShade="BF"/>
          <w:sz w:val="22"/>
          <w:szCs w:val="22"/>
        </w:rPr>
        <w:t xml:space="preserve">’ </w:t>
      </w:r>
      <w:bookmarkEnd w:id="29"/>
      <w:bookmarkEnd w:id="30"/>
      <w:r w:rsidR="00731ACA" w:rsidRPr="00731ACA">
        <w:rPr>
          <w:rFonts w:ascii="Arial" w:hAnsi="Arial" w:cs="Arial"/>
          <w:color w:val="2E74B5" w:themeColor="accent5" w:themeShade="BF"/>
          <w:sz w:val="22"/>
          <w:szCs w:val="22"/>
        </w:rPr>
        <w:t>and use this Epigenetic-Factor as the short name of epigenetic modification factors.</w:t>
      </w:r>
    </w:p>
    <w:p w14:paraId="25F13696" w14:textId="77777777" w:rsidR="00C64273" w:rsidRPr="00FB3565" w:rsidRDefault="00C64273" w:rsidP="00B4084E">
      <w:pPr>
        <w:jc w:val="both"/>
        <w:rPr>
          <w:rFonts w:ascii="Arial" w:hAnsi="Arial" w:cs="Arial"/>
          <w:sz w:val="22"/>
          <w:szCs w:val="22"/>
        </w:rPr>
      </w:pPr>
    </w:p>
    <w:p w14:paraId="36AEB52A" w14:textId="70EE7219" w:rsidR="00B4084E" w:rsidRDefault="00315086" w:rsidP="00315086">
      <w:pPr>
        <w:jc w:val="both"/>
        <w:rPr>
          <w:rFonts w:ascii="Arial" w:hAnsi="Arial" w:cs="Arial"/>
          <w:sz w:val="22"/>
          <w:szCs w:val="22"/>
        </w:rPr>
      </w:pPr>
      <w:r w:rsidRPr="00FB3565">
        <w:rPr>
          <w:rFonts w:ascii="Arial" w:hAnsi="Arial" w:cs="Arial"/>
          <w:sz w:val="22"/>
          <w:szCs w:val="22"/>
        </w:rPr>
        <w:t xml:space="preserve">Line 199: “areas at 24h after METH overdose”; </w:t>
      </w:r>
      <w:r w:rsidR="00B4084E" w:rsidRPr="00FB3565">
        <w:rPr>
          <w:rFonts w:ascii="Arial" w:hAnsi="Arial" w:cs="Arial"/>
          <w:sz w:val="22"/>
          <w:szCs w:val="22"/>
        </w:rPr>
        <w:t>Revise to refer to terminal time point earlier in the results section. It reads here as though 24 hours was a different time point than all the other data reported in this section.</w:t>
      </w:r>
    </w:p>
    <w:p w14:paraId="069C24DE" w14:textId="2F3F0ED3" w:rsidR="00C64273" w:rsidRDefault="00C64273" w:rsidP="00315086">
      <w:pPr>
        <w:jc w:val="both"/>
        <w:rPr>
          <w:rFonts w:ascii="Arial" w:hAnsi="Arial" w:cs="Arial"/>
          <w:sz w:val="22"/>
          <w:szCs w:val="22"/>
        </w:rPr>
      </w:pPr>
    </w:p>
    <w:p w14:paraId="212874A5" w14:textId="5408F9F6"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4020AE">
        <w:rPr>
          <w:rFonts w:ascii="Arial" w:hAnsi="Arial" w:cs="Arial"/>
          <w:color w:val="2E74B5" w:themeColor="accent5" w:themeShade="BF"/>
          <w:sz w:val="22"/>
          <w:szCs w:val="22"/>
        </w:rPr>
        <w:t xml:space="preserve"> We deleted the sentence in manuscript. And the omics</w:t>
      </w:r>
      <w:r w:rsidR="004020AE" w:rsidRPr="004020AE">
        <w:rPr>
          <w:rFonts w:ascii="Arial" w:hAnsi="Arial" w:cs="Arial"/>
          <w:color w:val="2E74B5" w:themeColor="accent5" w:themeShade="BF"/>
          <w:sz w:val="22"/>
          <w:szCs w:val="22"/>
        </w:rPr>
        <w:t xml:space="preserve"> data from </w:t>
      </w:r>
      <w:r w:rsidR="004020AE">
        <w:rPr>
          <w:rFonts w:ascii="Arial" w:hAnsi="Arial" w:cs="Arial"/>
          <w:color w:val="2E74B5" w:themeColor="accent5" w:themeShade="BF"/>
          <w:sz w:val="22"/>
          <w:szCs w:val="22"/>
        </w:rPr>
        <w:t xml:space="preserve">brain regions of </w:t>
      </w:r>
      <w:r w:rsidR="004020AE" w:rsidRPr="004020AE">
        <w:rPr>
          <w:rFonts w:ascii="Arial" w:hAnsi="Arial" w:cs="Arial"/>
          <w:color w:val="2E74B5" w:themeColor="accent5" w:themeShade="BF"/>
          <w:sz w:val="22"/>
          <w:szCs w:val="22"/>
        </w:rPr>
        <w:t>Rats that were sacrificed by decapitation at 24h after the last injection of the drug or saline, so there is only one time point for our data.</w:t>
      </w:r>
    </w:p>
    <w:p w14:paraId="78FCBF86" w14:textId="77777777" w:rsidR="00C64273" w:rsidRPr="00FB3565" w:rsidRDefault="00C64273" w:rsidP="00315086">
      <w:pPr>
        <w:jc w:val="both"/>
        <w:rPr>
          <w:rFonts w:ascii="Arial" w:hAnsi="Arial" w:cs="Arial"/>
          <w:sz w:val="22"/>
          <w:szCs w:val="22"/>
        </w:rPr>
      </w:pPr>
    </w:p>
    <w:p w14:paraId="64B61AD7" w14:textId="134C5E1C" w:rsidR="009519EB" w:rsidRDefault="00315086" w:rsidP="00315086">
      <w:pPr>
        <w:jc w:val="both"/>
        <w:rPr>
          <w:rFonts w:ascii="Arial" w:hAnsi="Arial" w:cs="Arial"/>
          <w:sz w:val="22"/>
          <w:szCs w:val="22"/>
        </w:rPr>
      </w:pPr>
      <w:r w:rsidRPr="00FB3565">
        <w:rPr>
          <w:rFonts w:ascii="Arial" w:hAnsi="Arial" w:cs="Arial"/>
          <w:sz w:val="22"/>
          <w:szCs w:val="22"/>
        </w:rPr>
        <w:t>Line 256: “explicitly annotated as regulators in the mouse genome,”; What do the authors define as 'regulators'? Any of these annotations: CTCF-only, DNase-H3K4me3, promoter, proximal enhancer, and distal enhancer?</w:t>
      </w:r>
    </w:p>
    <w:p w14:paraId="73C31755" w14:textId="1E631CCE" w:rsidR="00C64273" w:rsidRDefault="00C64273" w:rsidP="00315086">
      <w:pPr>
        <w:jc w:val="both"/>
        <w:rPr>
          <w:rFonts w:ascii="Arial" w:hAnsi="Arial" w:cs="Arial"/>
          <w:sz w:val="22"/>
          <w:szCs w:val="22"/>
        </w:rPr>
      </w:pPr>
    </w:p>
    <w:p w14:paraId="5B54C74D" w14:textId="660B90AC"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996B3B">
        <w:rPr>
          <w:rFonts w:ascii="Arial" w:hAnsi="Arial" w:cs="Arial"/>
          <w:color w:val="2E74B5" w:themeColor="accent5" w:themeShade="BF"/>
          <w:sz w:val="22"/>
          <w:szCs w:val="22"/>
        </w:rPr>
        <w:t xml:space="preserve"> </w:t>
      </w:r>
      <w:r w:rsidR="007C4E33">
        <w:rPr>
          <w:rFonts w:ascii="Arial" w:hAnsi="Arial" w:cs="Arial"/>
          <w:color w:val="2E74B5" w:themeColor="accent5" w:themeShade="BF"/>
          <w:sz w:val="22"/>
          <w:szCs w:val="22"/>
        </w:rPr>
        <w:t xml:space="preserve">Yes, here the regulators </w:t>
      </w:r>
      <w:r w:rsidR="007C4E33" w:rsidRPr="007C4E33">
        <w:rPr>
          <w:rFonts w:ascii="Arial" w:hAnsi="Arial" w:cs="Arial"/>
          <w:color w:val="2E74B5" w:themeColor="accent5" w:themeShade="BF"/>
          <w:sz w:val="22"/>
          <w:szCs w:val="22"/>
        </w:rPr>
        <w:t>are cis-regulatory elements derived from ENCODE data, including CTCF-only, DNase-H3K4me3, promoter, proximal enhancer, and distal enhancer.</w:t>
      </w:r>
    </w:p>
    <w:p w14:paraId="5A90AC91" w14:textId="77777777" w:rsidR="00C64273" w:rsidRPr="00FB3565" w:rsidRDefault="00C64273" w:rsidP="00315086">
      <w:pPr>
        <w:jc w:val="both"/>
        <w:rPr>
          <w:rFonts w:ascii="Arial" w:hAnsi="Arial" w:cs="Arial"/>
          <w:sz w:val="22"/>
          <w:szCs w:val="22"/>
        </w:rPr>
      </w:pPr>
    </w:p>
    <w:p w14:paraId="38FC89A2" w14:textId="7B390B7E" w:rsidR="00315086" w:rsidRDefault="00315086" w:rsidP="00315086">
      <w:pPr>
        <w:jc w:val="both"/>
        <w:rPr>
          <w:rFonts w:ascii="Arial" w:hAnsi="Arial" w:cs="Arial"/>
          <w:sz w:val="22"/>
          <w:szCs w:val="22"/>
        </w:rPr>
      </w:pPr>
      <w:r w:rsidRPr="00FB3565">
        <w:rPr>
          <w:rFonts w:ascii="Arial" w:hAnsi="Arial" w:cs="Arial"/>
          <w:sz w:val="22"/>
          <w:szCs w:val="22"/>
        </w:rPr>
        <w:t>Line 258: “two different enhancer DARs”; How are these DARs selected for comparison?</w:t>
      </w:r>
    </w:p>
    <w:p w14:paraId="567AD24A" w14:textId="40E241EA" w:rsidR="00C64273" w:rsidRDefault="00C64273" w:rsidP="00315086">
      <w:pPr>
        <w:jc w:val="both"/>
        <w:rPr>
          <w:rFonts w:ascii="Arial" w:hAnsi="Arial" w:cs="Arial"/>
          <w:sz w:val="22"/>
          <w:szCs w:val="22"/>
        </w:rPr>
      </w:pPr>
    </w:p>
    <w:p w14:paraId="43079077" w14:textId="08F4D60D" w:rsidR="00C64273" w:rsidRDefault="00C64273" w:rsidP="00315086">
      <w:pPr>
        <w:jc w:val="both"/>
        <w:rPr>
          <w:rFonts w:ascii="Arial" w:hAnsi="Arial" w:cs="Arial"/>
          <w:sz w:val="22"/>
          <w:szCs w:val="22"/>
        </w:rPr>
      </w:pPr>
      <w:bookmarkStart w:id="31" w:name="OLE_LINK165"/>
      <w:bookmarkStart w:id="32" w:name="OLE_LINK16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C4E33">
        <w:rPr>
          <w:rFonts w:ascii="Arial" w:hAnsi="Arial" w:cs="Arial"/>
          <w:color w:val="2E74B5" w:themeColor="accent5" w:themeShade="BF"/>
          <w:sz w:val="22"/>
          <w:szCs w:val="22"/>
        </w:rPr>
        <w:t xml:space="preserve"> </w:t>
      </w:r>
      <w:bookmarkEnd w:id="31"/>
      <w:bookmarkEnd w:id="32"/>
      <w:r w:rsidR="007C4E33" w:rsidRPr="007C4E33">
        <w:rPr>
          <w:rFonts w:ascii="Arial" w:hAnsi="Arial" w:cs="Arial"/>
          <w:color w:val="2E74B5" w:themeColor="accent5" w:themeShade="BF"/>
          <w:sz w:val="22"/>
          <w:szCs w:val="22"/>
        </w:rPr>
        <w:t xml:space="preserve">These two different enhancer DARs were </w:t>
      </w:r>
      <w:r w:rsidR="00783831">
        <w:rPr>
          <w:rFonts w:ascii="Arial" w:hAnsi="Arial" w:cs="Arial"/>
          <w:color w:val="2E74B5" w:themeColor="accent5" w:themeShade="BF"/>
          <w:sz w:val="22"/>
          <w:szCs w:val="22"/>
        </w:rPr>
        <w:t xml:space="preserve">two types of those </w:t>
      </w:r>
      <w:r w:rsidR="007C4E33" w:rsidRPr="007C4E33">
        <w:rPr>
          <w:rFonts w:ascii="Arial" w:hAnsi="Arial" w:cs="Arial"/>
          <w:color w:val="2E74B5" w:themeColor="accent5" w:themeShade="BF"/>
          <w:sz w:val="22"/>
          <w:szCs w:val="22"/>
        </w:rPr>
        <w:t xml:space="preserve">rat brain DARs had orthologous regions in the mouse genome </w:t>
      </w:r>
      <w:r w:rsidR="00783831">
        <w:rPr>
          <w:rFonts w:ascii="Arial" w:hAnsi="Arial" w:cs="Arial"/>
          <w:color w:val="2E74B5" w:themeColor="accent5" w:themeShade="BF"/>
          <w:sz w:val="22"/>
          <w:szCs w:val="22"/>
        </w:rPr>
        <w:t>and</w:t>
      </w:r>
      <w:r w:rsidR="007C4E33" w:rsidRPr="007C4E33">
        <w:rPr>
          <w:rFonts w:ascii="Arial" w:hAnsi="Arial" w:cs="Arial"/>
          <w:color w:val="2E74B5" w:themeColor="accent5" w:themeShade="BF"/>
          <w:sz w:val="22"/>
          <w:szCs w:val="22"/>
        </w:rPr>
        <w:t xml:space="preserve"> separately intersected with proximal enhancer and distal enhancer (at least 1 bp overlap).</w:t>
      </w:r>
    </w:p>
    <w:p w14:paraId="2791FCAE" w14:textId="77777777" w:rsidR="00C64273" w:rsidRPr="00FB3565" w:rsidRDefault="00C64273" w:rsidP="00315086">
      <w:pPr>
        <w:jc w:val="both"/>
        <w:rPr>
          <w:rFonts w:ascii="Arial" w:hAnsi="Arial" w:cs="Arial"/>
          <w:sz w:val="22"/>
          <w:szCs w:val="22"/>
        </w:rPr>
      </w:pPr>
    </w:p>
    <w:p w14:paraId="6BEA755B" w14:textId="26977229" w:rsidR="00F53D99" w:rsidRDefault="008D3116" w:rsidP="008D3116">
      <w:pPr>
        <w:jc w:val="both"/>
        <w:rPr>
          <w:rFonts w:ascii="Arial" w:hAnsi="Arial" w:cs="Arial"/>
          <w:sz w:val="22"/>
          <w:szCs w:val="22"/>
        </w:rPr>
      </w:pPr>
      <w:r w:rsidRPr="00FB3565">
        <w:rPr>
          <w:rFonts w:ascii="Arial" w:hAnsi="Arial" w:cs="Arial"/>
          <w:sz w:val="22"/>
          <w:szCs w:val="22"/>
        </w:rPr>
        <w:t>Line 266: “orthologous counterparts in the mouse genome (90%) and the human genome (65%),”; Please provide details of cut-offs for a region to be considered an 'orthologous counterpart.'</w:t>
      </w:r>
    </w:p>
    <w:p w14:paraId="1B03454C" w14:textId="67862323" w:rsidR="00C64273" w:rsidRDefault="00C64273" w:rsidP="008D3116">
      <w:pPr>
        <w:jc w:val="both"/>
        <w:rPr>
          <w:rFonts w:ascii="Arial" w:hAnsi="Arial" w:cs="Arial"/>
          <w:sz w:val="22"/>
          <w:szCs w:val="22"/>
        </w:rPr>
      </w:pPr>
    </w:p>
    <w:p w14:paraId="1FFEEE34" w14:textId="3DAA8452" w:rsidR="00C64273" w:rsidRDefault="0025105F"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B74B5E">
        <w:rPr>
          <w:rFonts w:ascii="Arial" w:hAnsi="Arial" w:cs="Arial"/>
          <w:color w:val="2E74B5" w:themeColor="accent5" w:themeShade="BF"/>
          <w:sz w:val="22"/>
          <w:szCs w:val="22"/>
        </w:rPr>
        <w:t xml:space="preserve">In the method, we provide the details of </w:t>
      </w:r>
      <w:r w:rsidR="00B74B5E" w:rsidRPr="00B74B5E">
        <w:rPr>
          <w:rFonts w:ascii="Arial" w:hAnsi="Arial" w:cs="Arial"/>
          <w:color w:val="2E74B5" w:themeColor="accent5" w:themeShade="BF"/>
          <w:sz w:val="22"/>
          <w:szCs w:val="22"/>
        </w:rPr>
        <w:t xml:space="preserve">cut-offs </w:t>
      </w:r>
      <w:r w:rsidR="00B74B5E">
        <w:rPr>
          <w:rFonts w:ascii="Arial" w:hAnsi="Arial" w:cs="Arial"/>
          <w:color w:val="2E74B5" w:themeColor="accent5" w:themeShade="BF"/>
          <w:sz w:val="22"/>
          <w:szCs w:val="22"/>
        </w:rPr>
        <w:t xml:space="preserve">how </w:t>
      </w:r>
      <w:r w:rsidR="00B74B5E" w:rsidRPr="00B74B5E">
        <w:rPr>
          <w:rFonts w:ascii="Arial" w:hAnsi="Arial" w:cs="Arial"/>
          <w:color w:val="2E74B5" w:themeColor="accent5" w:themeShade="BF"/>
          <w:sz w:val="22"/>
          <w:szCs w:val="22"/>
        </w:rPr>
        <w:t xml:space="preserve">a region </w:t>
      </w:r>
      <w:r w:rsidR="00B74B5E">
        <w:rPr>
          <w:rFonts w:ascii="Arial" w:hAnsi="Arial" w:cs="Arial"/>
          <w:color w:val="2E74B5" w:themeColor="accent5" w:themeShade="BF"/>
          <w:sz w:val="22"/>
          <w:szCs w:val="22"/>
        </w:rPr>
        <w:t>could</w:t>
      </w:r>
      <w:r w:rsidR="00B74B5E" w:rsidRPr="00B74B5E">
        <w:rPr>
          <w:rFonts w:ascii="Arial" w:hAnsi="Arial" w:cs="Arial"/>
          <w:color w:val="2E74B5" w:themeColor="accent5" w:themeShade="BF"/>
          <w:sz w:val="22"/>
          <w:szCs w:val="22"/>
        </w:rPr>
        <w:t xml:space="preserve"> be considered an 'orthologous counterpart’. The orthologous counterpart in mouse (mm10) and human (hg38) genomes for OCRs in rat brain regions were separately identified by using </w:t>
      </w:r>
      <w:proofErr w:type="spellStart"/>
      <w:r w:rsidR="00B74B5E" w:rsidRPr="00B74B5E">
        <w:rPr>
          <w:rFonts w:ascii="Arial" w:hAnsi="Arial" w:cs="Arial"/>
          <w:color w:val="2E74B5" w:themeColor="accent5" w:themeShade="BF"/>
          <w:sz w:val="22"/>
          <w:szCs w:val="22"/>
        </w:rPr>
        <w:t>liftOver</w:t>
      </w:r>
      <w:proofErr w:type="spellEnd"/>
      <w:r w:rsidR="00B74B5E" w:rsidRPr="00B74B5E">
        <w:rPr>
          <w:rFonts w:ascii="Arial" w:hAnsi="Arial" w:cs="Arial"/>
          <w:color w:val="2E74B5" w:themeColor="accent5" w:themeShade="BF"/>
          <w:sz w:val="22"/>
          <w:szCs w:val="22"/>
        </w:rPr>
        <w:t xml:space="preserve"> software with parameter "-</w:t>
      </w:r>
      <w:proofErr w:type="spellStart"/>
      <w:r w:rsidR="00B74B5E" w:rsidRPr="00B74B5E">
        <w:rPr>
          <w:rFonts w:ascii="Arial" w:hAnsi="Arial" w:cs="Arial"/>
          <w:color w:val="2E74B5" w:themeColor="accent5" w:themeShade="BF"/>
          <w:sz w:val="22"/>
          <w:szCs w:val="22"/>
        </w:rPr>
        <w:t>minMatch</w:t>
      </w:r>
      <w:proofErr w:type="spellEnd"/>
      <w:r w:rsidR="00B74B5E" w:rsidRPr="00B74B5E">
        <w:rPr>
          <w:rFonts w:ascii="Arial" w:hAnsi="Arial" w:cs="Arial"/>
          <w:color w:val="2E74B5" w:themeColor="accent5" w:themeShade="BF"/>
          <w:sz w:val="22"/>
          <w:szCs w:val="22"/>
        </w:rPr>
        <w:t>=0.6”.</w:t>
      </w:r>
    </w:p>
    <w:p w14:paraId="639286A5" w14:textId="77777777" w:rsidR="00C64273" w:rsidRPr="00FB3565" w:rsidRDefault="00C64273" w:rsidP="008D3116">
      <w:pPr>
        <w:jc w:val="both"/>
        <w:rPr>
          <w:rFonts w:ascii="Arial" w:hAnsi="Arial" w:cs="Arial"/>
          <w:sz w:val="22"/>
          <w:szCs w:val="22"/>
        </w:rPr>
      </w:pPr>
    </w:p>
    <w:p w14:paraId="3B2DAFCB" w14:textId="07445C4F" w:rsidR="008D3116" w:rsidRDefault="008D3116" w:rsidP="008D3116">
      <w:pPr>
        <w:jc w:val="both"/>
        <w:rPr>
          <w:rFonts w:ascii="Arial" w:hAnsi="Arial" w:cs="Arial"/>
          <w:sz w:val="22"/>
          <w:szCs w:val="22"/>
        </w:rPr>
      </w:pPr>
      <w:r w:rsidRPr="00FB3565">
        <w:rPr>
          <w:rFonts w:ascii="Arial" w:hAnsi="Arial" w:cs="Arial"/>
          <w:sz w:val="22"/>
          <w:szCs w:val="22"/>
        </w:rPr>
        <w:t xml:space="preserve">Line 273-275: It is unclear if this finding is meaningful, without comparison to </w:t>
      </w:r>
      <w:bookmarkStart w:id="33" w:name="OLE_LINK171"/>
      <w:bookmarkStart w:id="34" w:name="OLE_LINK172"/>
      <w:bookmarkStart w:id="35" w:name="OLE_LINK173"/>
      <w:r w:rsidRPr="00FB3565">
        <w:rPr>
          <w:rFonts w:ascii="Arial" w:hAnsi="Arial" w:cs="Arial"/>
          <w:sz w:val="22"/>
          <w:szCs w:val="22"/>
        </w:rPr>
        <w:t>positive or negative controls</w:t>
      </w:r>
      <w:bookmarkEnd w:id="33"/>
      <w:bookmarkEnd w:id="34"/>
      <w:bookmarkEnd w:id="35"/>
      <w:r w:rsidRPr="00FB3565">
        <w:rPr>
          <w:rFonts w:ascii="Arial" w:hAnsi="Arial" w:cs="Arial"/>
          <w:sz w:val="22"/>
          <w:szCs w:val="22"/>
        </w:rPr>
        <w:t>. The 'non-homologous' DAR GO term enrichment can serve as a negative control. Is that what is reported below? Do 'rodent-specific' DARs refer to those that are not homologous to human?</w:t>
      </w:r>
    </w:p>
    <w:p w14:paraId="6495F98B" w14:textId="68934833" w:rsidR="00C64273" w:rsidRDefault="00C64273" w:rsidP="008D3116">
      <w:pPr>
        <w:jc w:val="both"/>
        <w:rPr>
          <w:rFonts w:ascii="Arial" w:hAnsi="Arial" w:cs="Arial"/>
          <w:sz w:val="22"/>
          <w:szCs w:val="22"/>
        </w:rPr>
      </w:pPr>
    </w:p>
    <w:p w14:paraId="47799643" w14:textId="77777777" w:rsidR="007B4E30" w:rsidRDefault="00C64273" w:rsidP="007B4E30">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0513D">
        <w:rPr>
          <w:rFonts w:ascii="Arial" w:hAnsi="Arial" w:cs="Arial"/>
          <w:color w:val="2E74B5" w:themeColor="accent5" w:themeShade="BF"/>
          <w:sz w:val="22"/>
          <w:szCs w:val="22"/>
        </w:rPr>
        <w:t xml:space="preserve"> </w:t>
      </w:r>
      <w:r w:rsidR="007B4E30" w:rsidRPr="00161603">
        <w:rPr>
          <w:rFonts w:ascii="Arial" w:hAnsi="Arial" w:cs="Arial"/>
          <w:color w:val="2E74B5" w:themeColor="accent5" w:themeShade="BF"/>
          <w:sz w:val="22"/>
          <w:szCs w:val="22"/>
        </w:rPr>
        <w:t xml:space="preserve">We defined three different groups of </w:t>
      </w:r>
      <w:bookmarkStart w:id="36" w:name="OLE_LINK167"/>
      <w:bookmarkStart w:id="37" w:name="OLE_LINK168"/>
      <w:r w:rsidR="007B4E30" w:rsidRPr="00161603">
        <w:rPr>
          <w:rFonts w:ascii="Arial" w:hAnsi="Arial" w:cs="Arial"/>
          <w:color w:val="2E74B5" w:themeColor="accent5" w:themeShade="BF"/>
          <w:sz w:val="22"/>
          <w:szCs w:val="22"/>
        </w:rPr>
        <w:t xml:space="preserve">rat brain DARs </w:t>
      </w:r>
      <w:bookmarkEnd w:id="36"/>
      <w:bookmarkEnd w:id="37"/>
      <w:r w:rsidR="007B4E30" w:rsidRPr="00161603">
        <w:rPr>
          <w:rFonts w:ascii="Arial" w:hAnsi="Arial" w:cs="Arial"/>
          <w:color w:val="2E74B5" w:themeColor="accent5" w:themeShade="BF"/>
          <w:sz w:val="22"/>
          <w:szCs w:val="22"/>
        </w:rPr>
        <w:t xml:space="preserve">based on whether those DARs had orthologous counterparts in mouse genome and human genome. </w:t>
      </w:r>
      <w:bookmarkStart w:id="38" w:name="OLE_LINK169"/>
      <w:bookmarkStart w:id="39" w:name="OLE_LINK170"/>
      <w:r w:rsidR="007B4E30" w:rsidRPr="00161603">
        <w:rPr>
          <w:rFonts w:ascii="Arial" w:hAnsi="Arial" w:cs="Arial"/>
          <w:color w:val="2E74B5" w:themeColor="accent5" w:themeShade="BF"/>
          <w:sz w:val="22"/>
          <w:szCs w:val="22"/>
        </w:rPr>
        <w:t xml:space="preserve">The rat-mouse-human DARs </w:t>
      </w:r>
      <w:bookmarkEnd w:id="38"/>
      <w:bookmarkEnd w:id="39"/>
      <w:r w:rsidR="007B4E30" w:rsidRPr="00161603">
        <w:rPr>
          <w:rFonts w:ascii="Arial" w:hAnsi="Arial" w:cs="Arial"/>
          <w:color w:val="2E74B5" w:themeColor="accent5" w:themeShade="BF"/>
          <w:sz w:val="22"/>
          <w:szCs w:val="22"/>
        </w:rPr>
        <w:t xml:space="preserve">were conserved across all three species; rat-mouse DARs were rodent specific DARs that homologous to mouse but not to human; rat-only DARs were non-homologous DARs that did not have orthologous regions in both mouse and human genome. </w:t>
      </w:r>
    </w:p>
    <w:p w14:paraId="5078DB15" w14:textId="77777777" w:rsidR="007B4E30" w:rsidRDefault="007B4E30" w:rsidP="0080747E">
      <w:pPr>
        <w:jc w:val="both"/>
        <w:rPr>
          <w:rFonts w:ascii="Arial" w:hAnsi="Arial" w:cs="Arial"/>
          <w:color w:val="2E74B5" w:themeColor="accent5" w:themeShade="BF"/>
          <w:sz w:val="22"/>
          <w:szCs w:val="22"/>
        </w:rPr>
      </w:pPr>
    </w:p>
    <w:p w14:paraId="0BBB0889" w14:textId="32C036D1" w:rsidR="00FA35B6" w:rsidRDefault="0080747E" w:rsidP="0080747E">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lastRenderedPageBreak/>
        <w:t xml:space="preserve">GO </w:t>
      </w:r>
      <w:r w:rsidR="00FA35B6">
        <w:rPr>
          <w:rFonts w:ascii="Arial" w:hAnsi="Arial" w:cs="Arial"/>
          <w:color w:val="2E74B5" w:themeColor="accent5" w:themeShade="BF"/>
          <w:sz w:val="22"/>
          <w:szCs w:val="22"/>
        </w:rPr>
        <w:t>analysis</w:t>
      </w:r>
      <w:r>
        <w:rPr>
          <w:rFonts w:ascii="Arial" w:hAnsi="Arial" w:cs="Arial"/>
          <w:color w:val="2E74B5" w:themeColor="accent5" w:themeShade="BF"/>
          <w:sz w:val="22"/>
          <w:szCs w:val="22"/>
        </w:rPr>
        <w:t xml:space="preserve"> </w:t>
      </w:r>
      <w:r w:rsidR="007B4E30">
        <w:rPr>
          <w:rFonts w:ascii="Arial" w:hAnsi="Arial" w:cs="Arial"/>
          <w:color w:val="2E74B5" w:themeColor="accent5" w:themeShade="BF"/>
          <w:sz w:val="22"/>
          <w:szCs w:val="22"/>
        </w:rPr>
        <w:t>was used to identify whether those DAR associated genes enriched in</w:t>
      </w:r>
      <w:r w:rsidR="00170673">
        <w:rPr>
          <w:rFonts w:ascii="Arial" w:hAnsi="Arial" w:cs="Arial"/>
          <w:color w:val="2E74B5" w:themeColor="accent5" w:themeShade="BF"/>
          <w:sz w:val="22"/>
          <w:szCs w:val="22"/>
        </w:rPr>
        <w:t xml:space="preserve"> some</w:t>
      </w:r>
      <w:r w:rsidR="007B4E30">
        <w:rPr>
          <w:rFonts w:ascii="Arial" w:hAnsi="Arial" w:cs="Arial"/>
          <w:color w:val="2E74B5" w:themeColor="accent5" w:themeShade="BF"/>
          <w:sz w:val="22"/>
          <w:szCs w:val="22"/>
        </w:rPr>
        <w:t xml:space="preserve"> biology processes comparing to background that were whole gene sets of all ontology terms</w:t>
      </w:r>
      <w:r w:rsidR="003A04A0">
        <w:rPr>
          <w:rFonts w:ascii="Arial" w:hAnsi="Arial" w:cs="Arial"/>
          <w:color w:val="2E74B5" w:themeColor="accent5" w:themeShade="BF"/>
          <w:sz w:val="22"/>
          <w:szCs w:val="22"/>
        </w:rPr>
        <w:t>, indicating the potential function of those DARs</w:t>
      </w:r>
      <w:r w:rsidR="004939E1">
        <w:rPr>
          <w:rFonts w:ascii="Arial" w:hAnsi="Arial" w:cs="Arial"/>
          <w:color w:val="2E74B5" w:themeColor="accent5" w:themeShade="BF"/>
          <w:sz w:val="22"/>
          <w:szCs w:val="22"/>
        </w:rPr>
        <w:t xml:space="preserve">. </w:t>
      </w:r>
    </w:p>
    <w:p w14:paraId="3432ACF1" w14:textId="77777777" w:rsidR="00B613FD" w:rsidRDefault="00B613FD" w:rsidP="008D3116">
      <w:pPr>
        <w:jc w:val="both"/>
        <w:rPr>
          <w:rFonts w:ascii="Arial" w:hAnsi="Arial" w:cs="Arial"/>
          <w:color w:val="2E74B5" w:themeColor="accent5" w:themeShade="BF"/>
          <w:sz w:val="22"/>
          <w:szCs w:val="22"/>
        </w:rPr>
      </w:pPr>
    </w:p>
    <w:p w14:paraId="5DA7FB9D" w14:textId="235A3F76" w:rsidR="00170673" w:rsidRDefault="007C2708" w:rsidP="00170673">
      <w:pPr>
        <w:jc w:val="both"/>
        <w:rPr>
          <w:rFonts w:ascii="Arial" w:hAnsi="Arial" w:cs="Arial"/>
          <w:sz w:val="22"/>
          <w:szCs w:val="22"/>
        </w:rPr>
      </w:pPr>
      <w:r>
        <w:rPr>
          <w:rFonts w:ascii="Arial" w:hAnsi="Arial" w:cs="Arial"/>
          <w:color w:val="2E74B5" w:themeColor="accent5" w:themeShade="BF"/>
          <w:sz w:val="22"/>
          <w:szCs w:val="22"/>
        </w:rPr>
        <w:t xml:space="preserve">Comparison of enriched GO terms among those three different groups of </w:t>
      </w:r>
      <w:r w:rsidRPr="00161603">
        <w:rPr>
          <w:rFonts w:ascii="Arial" w:hAnsi="Arial" w:cs="Arial"/>
          <w:color w:val="2E74B5" w:themeColor="accent5" w:themeShade="BF"/>
          <w:sz w:val="22"/>
          <w:szCs w:val="22"/>
        </w:rPr>
        <w:t>rat brain DARs</w:t>
      </w:r>
      <w:r w:rsidR="0080747E">
        <w:rPr>
          <w:rFonts w:ascii="Arial" w:hAnsi="Arial" w:cs="Arial"/>
          <w:color w:val="2E74B5" w:themeColor="accent5" w:themeShade="BF"/>
          <w:sz w:val="22"/>
          <w:szCs w:val="22"/>
        </w:rPr>
        <w:t xml:space="preserve"> showed that</w:t>
      </w:r>
      <w:r w:rsidRPr="00161603">
        <w:rPr>
          <w:rFonts w:ascii="Arial" w:hAnsi="Arial" w:cs="Arial"/>
          <w:color w:val="2E74B5" w:themeColor="accent5" w:themeShade="BF"/>
          <w:sz w:val="22"/>
          <w:szCs w:val="22"/>
        </w:rPr>
        <w:t xml:space="preserve"> rat-mouse-human DARs </w:t>
      </w:r>
      <w:r w:rsidRPr="007C2708">
        <w:rPr>
          <w:rFonts w:ascii="Arial" w:hAnsi="Arial" w:cs="Arial"/>
          <w:color w:val="2E74B5" w:themeColor="accent5" w:themeShade="BF"/>
          <w:sz w:val="22"/>
          <w:szCs w:val="22"/>
        </w:rPr>
        <w:t>were highly enriched in brain function and neurological process</w:t>
      </w:r>
      <w:r w:rsidR="0080747E">
        <w:rPr>
          <w:rFonts w:ascii="Arial" w:hAnsi="Arial" w:cs="Arial"/>
          <w:color w:val="2E74B5" w:themeColor="accent5" w:themeShade="BF"/>
          <w:sz w:val="22"/>
          <w:szCs w:val="22"/>
        </w:rPr>
        <w:t>; t</w:t>
      </w:r>
      <w:r>
        <w:rPr>
          <w:rFonts w:ascii="Arial" w:hAnsi="Arial" w:cs="Arial"/>
          <w:color w:val="2E74B5" w:themeColor="accent5" w:themeShade="BF"/>
          <w:sz w:val="22"/>
          <w:szCs w:val="22"/>
        </w:rPr>
        <w:t xml:space="preserve">he </w:t>
      </w:r>
      <w:r w:rsidRPr="007C2708">
        <w:rPr>
          <w:rFonts w:ascii="Arial" w:hAnsi="Arial" w:cs="Arial"/>
          <w:color w:val="2E74B5" w:themeColor="accent5" w:themeShade="BF"/>
          <w:sz w:val="22"/>
          <w:szCs w:val="22"/>
        </w:rPr>
        <w:t>rodent-specific DARs were enriched in housekeeping functions, such as protein modification,</w:t>
      </w:r>
      <w:r>
        <w:rPr>
          <w:rFonts w:ascii="Arial" w:hAnsi="Arial" w:cs="Arial"/>
          <w:color w:val="2E74B5" w:themeColor="accent5" w:themeShade="BF"/>
          <w:sz w:val="22"/>
          <w:szCs w:val="22"/>
        </w:rPr>
        <w:t xml:space="preserve"> </w:t>
      </w:r>
      <w:r w:rsidRPr="007C2708">
        <w:rPr>
          <w:rFonts w:ascii="Arial" w:hAnsi="Arial" w:cs="Arial"/>
          <w:color w:val="2E74B5" w:themeColor="accent5" w:themeShade="BF"/>
          <w:sz w:val="22"/>
          <w:szCs w:val="22"/>
        </w:rPr>
        <w:t>DNA damage response, and protein nuclear transportation</w:t>
      </w:r>
      <w:r w:rsidR="0080747E">
        <w:rPr>
          <w:rFonts w:ascii="Arial" w:hAnsi="Arial" w:cs="Arial"/>
          <w:color w:val="2E74B5" w:themeColor="accent5" w:themeShade="BF"/>
          <w:sz w:val="22"/>
          <w:szCs w:val="22"/>
        </w:rPr>
        <w:t>;</w:t>
      </w:r>
      <w:r w:rsidRPr="007C2708">
        <w:rPr>
          <w:rFonts w:ascii="Arial" w:hAnsi="Arial" w:cs="Arial"/>
          <w:color w:val="2E74B5" w:themeColor="accent5" w:themeShade="BF"/>
          <w:sz w:val="22"/>
          <w:szCs w:val="22"/>
        </w:rPr>
        <w:t xml:space="preserve"> </w:t>
      </w:r>
      <w:r w:rsidR="0080747E">
        <w:rPr>
          <w:rFonts w:ascii="Arial" w:hAnsi="Arial" w:cs="Arial"/>
          <w:color w:val="2E74B5" w:themeColor="accent5" w:themeShade="BF"/>
          <w:sz w:val="22"/>
          <w:szCs w:val="22"/>
        </w:rPr>
        <w:t>h</w:t>
      </w:r>
      <w:r w:rsidRPr="007C2708">
        <w:rPr>
          <w:rFonts w:ascii="Arial" w:hAnsi="Arial" w:cs="Arial"/>
          <w:color w:val="2E74B5" w:themeColor="accent5" w:themeShade="BF"/>
          <w:sz w:val="22"/>
          <w:szCs w:val="22"/>
        </w:rPr>
        <w:t>owever, the rat-specific DARs were more enriched in immune-related biological processes</w:t>
      </w:r>
      <w:r w:rsidR="0080747E">
        <w:rPr>
          <w:rFonts w:ascii="Arial" w:hAnsi="Arial" w:cs="Arial"/>
          <w:color w:val="2E74B5" w:themeColor="accent5" w:themeShade="BF"/>
          <w:sz w:val="22"/>
          <w:szCs w:val="22"/>
        </w:rPr>
        <w:t xml:space="preserve">. </w:t>
      </w:r>
      <w:r w:rsidR="00170673">
        <w:rPr>
          <w:rFonts w:ascii="Arial" w:hAnsi="Arial" w:cs="Arial"/>
          <w:color w:val="2E74B5" w:themeColor="accent5" w:themeShade="BF"/>
          <w:sz w:val="22"/>
          <w:szCs w:val="22"/>
        </w:rPr>
        <w:t>Meanwhile, there were no enriched biology processes identified based on OCRs without significant changes respond to METH exposure.</w:t>
      </w:r>
    </w:p>
    <w:p w14:paraId="5334401D" w14:textId="77777777" w:rsidR="00C64273" w:rsidRPr="00FB3565" w:rsidRDefault="00C64273" w:rsidP="008D3116">
      <w:pPr>
        <w:jc w:val="both"/>
        <w:rPr>
          <w:rFonts w:ascii="Arial" w:hAnsi="Arial" w:cs="Arial"/>
          <w:sz w:val="22"/>
          <w:szCs w:val="22"/>
        </w:rPr>
      </w:pPr>
    </w:p>
    <w:p w14:paraId="4EE612AE" w14:textId="770C938D" w:rsidR="008D3116" w:rsidRDefault="008D3116" w:rsidP="008D3116">
      <w:pPr>
        <w:jc w:val="both"/>
        <w:rPr>
          <w:rFonts w:ascii="Arial" w:hAnsi="Arial" w:cs="Arial"/>
          <w:sz w:val="22"/>
          <w:szCs w:val="22"/>
        </w:rPr>
      </w:pPr>
      <w:r w:rsidRPr="00FB3565">
        <w:rPr>
          <w:rFonts w:ascii="Arial" w:hAnsi="Arial" w:cs="Arial"/>
          <w:sz w:val="22"/>
          <w:szCs w:val="22"/>
        </w:rPr>
        <w:t>Line 279: “were far from gene promoters”; How far? Can authors quantify this statement?</w:t>
      </w:r>
    </w:p>
    <w:p w14:paraId="38857E4F" w14:textId="744B80BA" w:rsidR="00C64273" w:rsidRDefault="00C64273" w:rsidP="008D3116">
      <w:pPr>
        <w:jc w:val="both"/>
        <w:rPr>
          <w:rFonts w:ascii="Arial" w:hAnsi="Arial" w:cs="Arial"/>
          <w:sz w:val="22"/>
          <w:szCs w:val="22"/>
        </w:rPr>
      </w:pPr>
    </w:p>
    <w:p w14:paraId="0F964C38" w14:textId="7BF2A239" w:rsidR="00C64273" w:rsidRDefault="00C64273" w:rsidP="007E4AA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E4AAE">
        <w:rPr>
          <w:rFonts w:ascii="Arial" w:hAnsi="Arial" w:cs="Arial"/>
          <w:color w:val="2E74B5" w:themeColor="accent5" w:themeShade="BF"/>
          <w:sz w:val="22"/>
          <w:szCs w:val="22"/>
        </w:rPr>
        <w:t xml:space="preserve"> The figure 3f showed a</w:t>
      </w:r>
      <w:r w:rsidR="007E4AAE" w:rsidRPr="007E4AAE">
        <w:rPr>
          <w:rFonts w:ascii="Arial" w:hAnsi="Arial" w:cs="Arial"/>
          <w:color w:val="2E74B5" w:themeColor="accent5" w:themeShade="BF"/>
          <w:sz w:val="22"/>
          <w:szCs w:val="22"/>
        </w:rPr>
        <w:t>pproximately 90% of DARs</w:t>
      </w:r>
      <w:r w:rsidR="007E4AAE">
        <w:rPr>
          <w:rFonts w:ascii="Arial" w:hAnsi="Arial" w:cs="Arial"/>
          <w:color w:val="2E74B5" w:themeColor="accent5" w:themeShade="BF"/>
          <w:sz w:val="22"/>
          <w:szCs w:val="22"/>
        </w:rPr>
        <w:t xml:space="preserve"> associated with METH-overdose stimulus</w:t>
      </w:r>
      <w:r w:rsidR="007E4AAE" w:rsidRPr="007E4AAE">
        <w:rPr>
          <w:rFonts w:ascii="Arial" w:hAnsi="Arial" w:cs="Arial"/>
          <w:color w:val="2E74B5" w:themeColor="accent5" w:themeShade="BF"/>
          <w:sz w:val="22"/>
          <w:szCs w:val="22"/>
        </w:rPr>
        <w:t xml:space="preserve"> were located in intragenic</w:t>
      </w:r>
      <w:r w:rsidR="007E4AAE">
        <w:rPr>
          <w:rFonts w:ascii="Arial" w:hAnsi="Arial" w:cs="Arial"/>
          <w:color w:val="2E74B5" w:themeColor="accent5" w:themeShade="BF"/>
          <w:sz w:val="22"/>
          <w:szCs w:val="22"/>
        </w:rPr>
        <w:t xml:space="preserve"> </w:t>
      </w:r>
      <w:r w:rsidR="007E4AAE" w:rsidRPr="007E4AAE">
        <w:rPr>
          <w:rFonts w:ascii="Arial" w:hAnsi="Arial" w:cs="Arial"/>
          <w:color w:val="2E74B5" w:themeColor="accent5" w:themeShade="BF"/>
          <w:sz w:val="22"/>
          <w:szCs w:val="22"/>
        </w:rPr>
        <w:t>or intergenic regions</w:t>
      </w:r>
      <w:r w:rsidR="007E4AAE">
        <w:rPr>
          <w:rFonts w:ascii="Arial" w:hAnsi="Arial" w:cs="Arial"/>
          <w:color w:val="2E74B5" w:themeColor="accent5" w:themeShade="BF"/>
          <w:sz w:val="22"/>
          <w:szCs w:val="22"/>
        </w:rPr>
        <w:t xml:space="preserve">. Then, we calculated the </w:t>
      </w:r>
      <w:r w:rsidR="007E4AAE" w:rsidRPr="007E4AAE">
        <w:rPr>
          <w:rFonts w:ascii="Arial" w:hAnsi="Arial" w:cs="Arial"/>
          <w:color w:val="2E74B5" w:themeColor="accent5" w:themeShade="BF"/>
          <w:sz w:val="22"/>
          <w:szCs w:val="22"/>
        </w:rPr>
        <w:t>distance of DARs to the transcript start site (TSS) and generated the boxplot in supplementary Fig. 3</w:t>
      </w:r>
      <w:r w:rsidR="007E4AAE">
        <w:rPr>
          <w:rFonts w:ascii="Arial" w:hAnsi="Arial" w:cs="Arial"/>
          <w:color w:val="2E74B5" w:themeColor="accent5" w:themeShade="BF"/>
          <w:sz w:val="22"/>
          <w:szCs w:val="22"/>
        </w:rPr>
        <w:t xml:space="preserve"> showing the distance distribution</w:t>
      </w:r>
      <w:r w:rsidR="007E4AAE" w:rsidRPr="007E4AAE">
        <w:rPr>
          <w:rFonts w:ascii="Arial" w:hAnsi="Arial" w:cs="Arial"/>
          <w:color w:val="2E74B5" w:themeColor="accent5" w:themeShade="BF"/>
          <w:sz w:val="22"/>
          <w:szCs w:val="22"/>
        </w:rPr>
        <w:t xml:space="preserve">. </w:t>
      </w:r>
      <w:r w:rsidR="00AF38E2">
        <w:rPr>
          <w:rFonts w:ascii="Arial" w:hAnsi="Arial" w:cs="Arial"/>
          <w:color w:val="2E74B5" w:themeColor="accent5" w:themeShade="BF"/>
          <w:sz w:val="22"/>
          <w:szCs w:val="22"/>
        </w:rPr>
        <w:t xml:space="preserve">About 90% of </w:t>
      </w:r>
      <w:r w:rsidR="007E4AAE" w:rsidRPr="007E4AAE">
        <w:rPr>
          <w:rFonts w:ascii="Arial" w:hAnsi="Arial" w:cs="Arial"/>
          <w:color w:val="2E74B5" w:themeColor="accent5" w:themeShade="BF"/>
          <w:sz w:val="22"/>
          <w:szCs w:val="22"/>
        </w:rPr>
        <w:t xml:space="preserve">DARs were </w:t>
      </w:r>
      <w:r w:rsidR="00AF38E2">
        <w:rPr>
          <w:rFonts w:ascii="Arial" w:hAnsi="Arial" w:cs="Arial"/>
          <w:color w:val="2E74B5" w:themeColor="accent5" w:themeShade="BF"/>
          <w:sz w:val="22"/>
          <w:szCs w:val="22"/>
        </w:rPr>
        <w:t xml:space="preserve">located out of </w:t>
      </w:r>
      <w:r w:rsidR="007E4AAE" w:rsidRPr="007E4AAE">
        <w:rPr>
          <w:rFonts w:ascii="Arial" w:hAnsi="Arial" w:cs="Arial"/>
          <w:color w:val="2E74B5" w:themeColor="accent5" w:themeShade="BF"/>
          <w:sz w:val="22"/>
          <w:szCs w:val="22"/>
        </w:rPr>
        <w:t>gene promoter</w:t>
      </w:r>
      <w:r w:rsidR="00AF38E2">
        <w:rPr>
          <w:rFonts w:ascii="Arial" w:hAnsi="Arial" w:cs="Arial"/>
          <w:color w:val="2E74B5" w:themeColor="accent5" w:themeShade="BF"/>
          <w:sz w:val="22"/>
          <w:szCs w:val="22"/>
        </w:rPr>
        <w:t xml:space="preserve"> regions</w:t>
      </w:r>
      <w:r w:rsidR="007E4AAE">
        <w:rPr>
          <w:rFonts w:ascii="Arial" w:hAnsi="Arial" w:cs="Arial"/>
          <w:color w:val="2E74B5" w:themeColor="accent5" w:themeShade="BF"/>
          <w:sz w:val="22"/>
          <w:szCs w:val="22"/>
        </w:rPr>
        <w:t xml:space="preserve"> (1kb around TSS)</w:t>
      </w:r>
      <w:r w:rsidR="007E4AAE" w:rsidRPr="007E4AAE">
        <w:rPr>
          <w:rFonts w:ascii="Arial" w:hAnsi="Arial" w:cs="Arial"/>
          <w:color w:val="2E74B5" w:themeColor="accent5" w:themeShade="BF"/>
          <w:sz w:val="22"/>
          <w:szCs w:val="22"/>
        </w:rPr>
        <w:t xml:space="preserve"> and the average distance to </w:t>
      </w:r>
      <w:r w:rsidR="00AF38E2">
        <w:rPr>
          <w:rFonts w:ascii="Arial" w:hAnsi="Arial" w:cs="Arial"/>
          <w:color w:val="2E74B5" w:themeColor="accent5" w:themeShade="BF"/>
          <w:sz w:val="22"/>
          <w:szCs w:val="22"/>
        </w:rPr>
        <w:t>TSS</w:t>
      </w:r>
      <w:r w:rsidR="007E4AAE" w:rsidRPr="007E4AAE">
        <w:rPr>
          <w:rFonts w:ascii="Arial" w:hAnsi="Arial" w:cs="Arial"/>
          <w:color w:val="2E74B5" w:themeColor="accent5" w:themeShade="BF"/>
          <w:sz w:val="22"/>
          <w:szCs w:val="22"/>
        </w:rPr>
        <w:t xml:space="preserve"> was about 30kb.</w:t>
      </w:r>
    </w:p>
    <w:p w14:paraId="2646631D" w14:textId="77777777" w:rsidR="00AF38E2" w:rsidRDefault="00AF38E2" w:rsidP="007E4AAE">
      <w:pPr>
        <w:jc w:val="both"/>
        <w:rPr>
          <w:rFonts w:ascii="Arial" w:hAnsi="Arial" w:cs="Arial"/>
          <w:color w:val="2E74B5" w:themeColor="accent5" w:themeShade="BF"/>
          <w:sz w:val="22"/>
          <w:szCs w:val="22"/>
        </w:rPr>
      </w:pPr>
    </w:p>
    <w:p w14:paraId="0F70E85F" w14:textId="1D80253C" w:rsidR="008B4B87" w:rsidRDefault="008D1B18" w:rsidP="008B4B87">
      <w:pPr>
        <w:jc w:val="center"/>
        <w:rPr>
          <w:rFonts w:ascii="Arial" w:hAnsi="Arial" w:cs="Arial"/>
          <w:color w:val="2E74B5" w:themeColor="accent5" w:themeShade="BF"/>
          <w:sz w:val="22"/>
          <w:szCs w:val="22"/>
        </w:rPr>
      </w:pPr>
      <w:r w:rsidRPr="008D1B18">
        <w:rPr>
          <w:rFonts w:ascii="Arial" w:hAnsi="Arial" w:cs="Arial"/>
          <w:noProof/>
          <w:color w:val="2E74B5" w:themeColor="accent5" w:themeShade="BF"/>
          <w:sz w:val="22"/>
          <w:szCs w:val="22"/>
        </w:rPr>
        <w:drawing>
          <wp:inline distT="0" distB="0" distL="0" distR="0" wp14:anchorId="5821365A" wp14:editId="2C0892D2">
            <wp:extent cx="3216613" cy="1965708"/>
            <wp:effectExtent l="0" t="0" r="0" b="3175"/>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16"/>
                    <a:stretch>
                      <a:fillRect/>
                    </a:stretch>
                  </pic:blipFill>
                  <pic:spPr>
                    <a:xfrm>
                      <a:off x="0" y="0"/>
                      <a:ext cx="3258532" cy="1991325"/>
                    </a:xfrm>
                    <a:prstGeom prst="rect">
                      <a:avLst/>
                    </a:prstGeom>
                  </pic:spPr>
                </pic:pic>
              </a:graphicData>
            </a:graphic>
          </wp:inline>
        </w:drawing>
      </w:r>
    </w:p>
    <w:p w14:paraId="7C90B79C" w14:textId="77777777" w:rsidR="00C64273" w:rsidRPr="00FB3565" w:rsidRDefault="00C64273" w:rsidP="008D3116">
      <w:pPr>
        <w:jc w:val="both"/>
        <w:rPr>
          <w:rFonts w:ascii="Arial" w:hAnsi="Arial" w:cs="Arial"/>
          <w:sz w:val="22"/>
          <w:szCs w:val="22"/>
        </w:rPr>
      </w:pPr>
    </w:p>
    <w:p w14:paraId="1140A382" w14:textId="56E0D953" w:rsidR="008D3116" w:rsidRDefault="008D3116" w:rsidP="008D3116">
      <w:pPr>
        <w:jc w:val="both"/>
        <w:rPr>
          <w:rFonts w:ascii="Arial" w:hAnsi="Arial" w:cs="Arial"/>
          <w:sz w:val="22"/>
          <w:szCs w:val="22"/>
        </w:rPr>
      </w:pPr>
      <w:r w:rsidRPr="00FB3565">
        <w:rPr>
          <w:rFonts w:ascii="Arial" w:hAnsi="Arial" w:cs="Arial"/>
          <w:sz w:val="22"/>
          <w:szCs w:val="22"/>
        </w:rPr>
        <w:t>Line 280: “potential enhancer functions of those DARs.”; Unclear what authors refer to here. Are 'those' DARs in line 280 'far from gene promoters' and the other DAR analysis is on those that are 'close'? Please revise for clarity/accuracy.</w:t>
      </w:r>
    </w:p>
    <w:p w14:paraId="0AFE3686" w14:textId="557E5F56" w:rsidR="00C64273" w:rsidRDefault="00C64273" w:rsidP="008D3116">
      <w:pPr>
        <w:jc w:val="both"/>
        <w:rPr>
          <w:rFonts w:ascii="Arial" w:hAnsi="Arial" w:cs="Arial"/>
          <w:sz w:val="22"/>
          <w:szCs w:val="22"/>
        </w:rPr>
      </w:pPr>
    </w:p>
    <w:p w14:paraId="6C1C49F8" w14:textId="73BE4127"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We modified “potential enhancer functions of those DARs” to “potential enhancer function of all DARs responding to Meth-overdose”</w:t>
      </w:r>
      <w:r w:rsidR="00FF6822">
        <w:rPr>
          <w:rFonts w:ascii="Arial" w:hAnsi="Arial" w:cs="Arial"/>
          <w:color w:val="2E74B5" w:themeColor="accent5" w:themeShade="BF"/>
          <w:sz w:val="22"/>
          <w:szCs w:val="22"/>
        </w:rPr>
        <w:t>.</w:t>
      </w:r>
    </w:p>
    <w:p w14:paraId="284BF815" w14:textId="77777777" w:rsidR="00C64273" w:rsidRPr="00FB3565" w:rsidRDefault="00C64273" w:rsidP="008D3116">
      <w:pPr>
        <w:jc w:val="both"/>
        <w:rPr>
          <w:rFonts w:ascii="Arial" w:hAnsi="Arial" w:cs="Arial"/>
          <w:sz w:val="22"/>
          <w:szCs w:val="22"/>
        </w:rPr>
      </w:pPr>
    </w:p>
    <w:p w14:paraId="00589E1D" w14:textId="0578FE85" w:rsidR="008D3116" w:rsidRDefault="008D3116" w:rsidP="008D3116">
      <w:pPr>
        <w:jc w:val="both"/>
        <w:rPr>
          <w:rFonts w:ascii="Arial" w:hAnsi="Arial" w:cs="Arial"/>
          <w:sz w:val="22"/>
          <w:szCs w:val="22"/>
        </w:rPr>
      </w:pPr>
      <w:r w:rsidRPr="00FB3565">
        <w:rPr>
          <w:rFonts w:ascii="Arial" w:hAnsi="Arial" w:cs="Arial"/>
          <w:sz w:val="22"/>
          <w:szCs w:val="22"/>
        </w:rPr>
        <w:t>Line290: “which was activated in the forebrain and midbrain of transgenic mice at embryonic Day 11.5”; An increase in ATAC-Seq peaks can be interpreted as increased accessibility of this region. What do authors mean here by the term 'activated' when referring to the ATAC seq data? Do they correlate the DAR with DEG?</w:t>
      </w:r>
    </w:p>
    <w:p w14:paraId="0DC8F356" w14:textId="712BD480" w:rsidR="00C64273" w:rsidRDefault="00C64273" w:rsidP="008D3116">
      <w:pPr>
        <w:jc w:val="both"/>
        <w:rPr>
          <w:rFonts w:ascii="Arial" w:hAnsi="Arial" w:cs="Arial"/>
          <w:sz w:val="22"/>
          <w:szCs w:val="22"/>
        </w:rPr>
      </w:pPr>
    </w:p>
    <w:p w14:paraId="39841D6C" w14:textId="457BD28D"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 xml:space="preserve">The “activated” referred to one validated human enhancer (hg38, chr10:117094613-117095732) that intersected with a rat-human ortholog DAR (rn6, chr1:280298192-280298591) in the intron of the Shtn1 gene (Fig. 4e). This enhancer activity was experimentally validated with gene enhancer activity as assessed in transgenic mice from VISTA Enhancer Browser database </w:t>
      </w:r>
      <w:r w:rsidR="00FF6822" w:rsidRPr="00FF6822">
        <w:rPr>
          <w:rFonts w:ascii="Arial" w:hAnsi="Arial" w:cs="Arial"/>
          <w:color w:val="2E74B5" w:themeColor="accent5" w:themeShade="BF"/>
          <w:sz w:val="22"/>
          <w:szCs w:val="22"/>
        </w:rPr>
        <w:lastRenderedPageBreak/>
        <w:t>that had to show reproducible expression in the same structure in at least three independent transgenic embryos.</w:t>
      </w:r>
    </w:p>
    <w:p w14:paraId="1A40A720" w14:textId="77777777" w:rsidR="00C64273" w:rsidRPr="00FB3565" w:rsidRDefault="00C64273" w:rsidP="008D3116">
      <w:pPr>
        <w:jc w:val="both"/>
        <w:rPr>
          <w:rFonts w:ascii="Arial" w:hAnsi="Arial" w:cs="Arial"/>
          <w:sz w:val="22"/>
          <w:szCs w:val="22"/>
        </w:rPr>
      </w:pPr>
    </w:p>
    <w:p w14:paraId="102FE106" w14:textId="3D58496C" w:rsidR="008D3116" w:rsidRDefault="008D3116" w:rsidP="008D3116">
      <w:pPr>
        <w:jc w:val="both"/>
        <w:rPr>
          <w:rFonts w:ascii="Arial" w:hAnsi="Arial" w:cs="Arial"/>
          <w:sz w:val="22"/>
          <w:szCs w:val="22"/>
        </w:rPr>
      </w:pPr>
      <w:r w:rsidRPr="00FB3565">
        <w:rPr>
          <w:rFonts w:ascii="Arial" w:hAnsi="Arial" w:cs="Arial"/>
          <w:sz w:val="22"/>
          <w:szCs w:val="22"/>
        </w:rPr>
        <w:t>Line 302: “846 SNPs”; How were these SNPs selected? Is this the total in the GWAS Catalog? for a specific category?</w:t>
      </w:r>
    </w:p>
    <w:p w14:paraId="7F05830E" w14:textId="1181B397" w:rsidR="00C64273" w:rsidRDefault="00C64273" w:rsidP="008D3116">
      <w:pPr>
        <w:jc w:val="both"/>
        <w:rPr>
          <w:rFonts w:ascii="Arial" w:hAnsi="Arial" w:cs="Arial"/>
          <w:sz w:val="22"/>
          <w:szCs w:val="22"/>
        </w:rPr>
      </w:pPr>
    </w:p>
    <w:p w14:paraId="37D352F1" w14:textId="10D61D50"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94C3C">
        <w:rPr>
          <w:rFonts w:ascii="Arial" w:hAnsi="Arial" w:cs="Arial"/>
          <w:color w:val="2E74B5" w:themeColor="accent5" w:themeShade="BF"/>
          <w:sz w:val="22"/>
          <w:szCs w:val="22"/>
        </w:rPr>
        <w:t xml:space="preserve"> </w:t>
      </w:r>
      <w:r w:rsidR="00A94C3C" w:rsidRPr="00A94C3C">
        <w:rPr>
          <w:rFonts w:ascii="Arial" w:hAnsi="Arial" w:cs="Arial"/>
          <w:color w:val="2E74B5" w:themeColor="accent5" w:themeShade="BF"/>
          <w:sz w:val="22"/>
          <w:szCs w:val="22"/>
        </w:rPr>
        <w:t xml:space="preserve">Those 846 SNPs were 846 GWAS SNPs associated with different neurological functions and disorders located in 814 human-rat ortholog regions that were accessible chromatin regions in the rat brain. The variants-trait information of genome-wide association studies (GWAS SNPs) were downloaded from GWAS Catalog (https://www.ebi.ac.uk/gwas/home). There were total 113,705 GWAS SNPs associated with different traits, such as cancer, immune system disorder and neurological disorder. Then, the GWAS SNPs associated with neurological functions and disorders were </w:t>
      </w:r>
      <w:r w:rsidR="00A94C3C">
        <w:rPr>
          <w:rFonts w:ascii="Arial" w:hAnsi="Arial" w:cs="Arial"/>
          <w:color w:val="2E74B5" w:themeColor="accent5" w:themeShade="BF"/>
          <w:sz w:val="22"/>
          <w:szCs w:val="22"/>
        </w:rPr>
        <w:t>selected</w:t>
      </w:r>
      <w:r w:rsidR="00A94C3C" w:rsidRPr="00A94C3C">
        <w:rPr>
          <w:rFonts w:ascii="Arial" w:hAnsi="Arial" w:cs="Arial"/>
          <w:color w:val="2E74B5" w:themeColor="accent5" w:themeShade="BF"/>
          <w:sz w:val="22"/>
          <w:szCs w:val="22"/>
        </w:rPr>
        <w:t xml:space="preserve"> based on the mapped traits. And </w:t>
      </w:r>
      <w:r w:rsidR="00A94C3C">
        <w:rPr>
          <w:rFonts w:ascii="Arial" w:hAnsi="Arial" w:cs="Arial"/>
          <w:color w:val="2E74B5" w:themeColor="accent5" w:themeShade="BF"/>
          <w:sz w:val="22"/>
          <w:szCs w:val="22"/>
        </w:rPr>
        <w:t xml:space="preserve">the </w:t>
      </w:r>
      <w:proofErr w:type="spellStart"/>
      <w:r w:rsidR="00A94C3C" w:rsidRPr="00A94C3C">
        <w:rPr>
          <w:rFonts w:ascii="Arial" w:hAnsi="Arial" w:cs="Arial"/>
          <w:color w:val="2E74B5" w:themeColor="accent5" w:themeShade="BF"/>
          <w:sz w:val="22"/>
          <w:szCs w:val="22"/>
        </w:rPr>
        <w:t>intersectBed</w:t>
      </w:r>
      <w:proofErr w:type="spellEnd"/>
      <w:r w:rsidR="00A94C3C" w:rsidRPr="00A94C3C">
        <w:rPr>
          <w:rFonts w:ascii="Arial" w:hAnsi="Arial" w:cs="Arial"/>
          <w:color w:val="2E74B5" w:themeColor="accent5" w:themeShade="BF"/>
          <w:sz w:val="22"/>
          <w:szCs w:val="22"/>
        </w:rPr>
        <w:t xml:space="preserve"> method was used to identify 846 GWAS SNPs overlapped with rat-human orthologous OCRs.</w:t>
      </w:r>
    </w:p>
    <w:p w14:paraId="43D1AFDC" w14:textId="77777777" w:rsidR="00C64273" w:rsidRPr="00FB3565" w:rsidRDefault="00C64273" w:rsidP="008D3116">
      <w:pPr>
        <w:jc w:val="both"/>
        <w:rPr>
          <w:rFonts w:ascii="Arial" w:hAnsi="Arial" w:cs="Arial"/>
          <w:sz w:val="22"/>
          <w:szCs w:val="22"/>
        </w:rPr>
      </w:pPr>
    </w:p>
    <w:p w14:paraId="69B65124" w14:textId="78CA129A" w:rsidR="00C07665" w:rsidRDefault="00C07665" w:rsidP="00C07665">
      <w:pPr>
        <w:jc w:val="both"/>
        <w:rPr>
          <w:rFonts w:ascii="Arial" w:hAnsi="Arial" w:cs="Arial"/>
          <w:sz w:val="22"/>
          <w:szCs w:val="22"/>
        </w:rPr>
      </w:pPr>
      <w:r w:rsidRPr="00FB3565">
        <w:rPr>
          <w:rFonts w:ascii="Arial" w:hAnsi="Arial" w:cs="Arial"/>
          <w:sz w:val="22"/>
          <w:szCs w:val="22"/>
        </w:rPr>
        <w:t xml:space="preserve">Line 310: “became close in the DG but open in the CA and SVZ after METH13 overdose stimulus”; Data are not 'close or open' but rather enriched in ATAC-seq peaks/signal. Please revise for accuracy/clarity. A truly </w:t>
      </w:r>
      <w:proofErr w:type="spellStart"/>
      <w:r w:rsidRPr="00FB3565">
        <w:rPr>
          <w:rFonts w:ascii="Arial" w:hAnsi="Arial" w:cs="Arial"/>
          <w:sz w:val="22"/>
          <w:szCs w:val="22"/>
        </w:rPr>
        <w:t>heterochromatinized</w:t>
      </w:r>
      <w:proofErr w:type="spellEnd"/>
      <w:r w:rsidRPr="00FB3565">
        <w:rPr>
          <w:rFonts w:ascii="Arial" w:hAnsi="Arial" w:cs="Arial"/>
          <w:sz w:val="22"/>
          <w:szCs w:val="22"/>
        </w:rPr>
        <w:t>, or 'closed', gene should have no signal, which would remove it from the DAR analysis. If authors wish to use closed/open terminology, please quantify thresholds for these terms. DAR does NOT indicate that a region has gone from closed to open, rather that it has become more open.</w:t>
      </w:r>
    </w:p>
    <w:p w14:paraId="6462D8C3" w14:textId="3F22A92D" w:rsidR="00C64273" w:rsidRDefault="00C64273" w:rsidP="00C07665">
      <w:pPr>
        <w:jc w:val="both"/>
        <w:rPr>
          <w:rFonts w:ascii="Arial" w:hAnsi="Arial" w:cs="Arial"/>
          <w:sz w:val="22"/>
          <w:szCs w:val="22"/>
        </w:rPr>
      </w:pPr>
    </w:p>
    <w:p w14:paraId="2FC0F240" w14:textId="44A97A3E" w:rsidR="00C64273" w:rsidRDefault="00C64273" w:rsidP="00C07665">
      <w:pPr>
        <w:jc w:val="both"/>
        <w:rPr>
          <w:rFonts w:ascii="Arial" w:hAnsi="Arial" w:cs="Arial"/>
          <w:sz w:val="22"/>
          <w:szCs w:val="22"/>
        </w:rPr>
      </w:pPr>
      <w:bookmarkStart w:id="40" w:name="OLE_LINK29"/>
      <w:bookmarkStart w:id="41" w:name="OLE_LINK3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sidRPr="008D3287">
        <w:t xml:space="preserve"> </w:t>
      </w:r>
      <w:r w:rsidR="008D3287" w:rsidRPr="008D3287">
        <w:rPr>
          <w:rFonts w:ascii="Arial" w:hAnsi="Arial" w:cs="Arial"/>
          <w:color w:val="2E74B5" w:themeColor="accent5" w:themeShade="BF"/>
          <w:sz w:val="22"/>
          <w:szCs w:val="22"/>
        </w:rPr>
        <w:t xml:space="preserve">We modified </w:t>
      </w:r>
      <w:bookmarkEnd w:id="40"/>
      <w:bookmarkEnd w:id="41"/>
      <w:r w:rsidR="008D3287" w:rsidRPr="008D3287">
        <w:rPr>
          <w:rFonts w:ascii="Arial" w:hAnsi="Arial" w:cs="Arial"/>
          <w:color w:val="2E74B5" w:themeColor="accent5" w:themeShade="BF"/>
          <w:sz w:val="22"/>
          <w:szCs w:val="22"/>
        </w:rPr>
        <w:t>the manuscript in line 310: SNP rs13127214, located in the human-rat conserved region (rn6, chr14:38,804,097-38,805,271), became less open in the DG but more open in the CA and SVZ after Meth-overdose stimulus comparing to saline sample (Fig. 4g. left).</w:t>
      </w:r>
    </w:p>
    <w:p w14:paraId="41EF6386" w14:textId="77777777" w:rsidR="00C64273" w:rsidRPr="00FB3565" w:rsidRDefault="00C64273" w:rsidP="00C07665">
      <w:pPr>
        <w:jc w:val="both"/>
        <w:rPr>
          <w:rFonts w:ascii="Arial" w:hAnsi="Arial" w:cs="Arial"/>
          <w:sz w:val="22"/>
          <w:szCs w:val="22"/>
        </w:rPr>
      </w:pPr>
    </w:p>
    <w:p w14:paraId="2BE2F727" w14:textId="17C9EFF0" w:rsidR="00C07665" w:rsidRDefault="00705398" w:rsidP="00C07665">
      <w:pPr>
        <w:jc w:val="both"/>
        <w:rPr>
          <w:rFonts w:ascii="Arial" w:hAnsi="Arial" w:cs="Arial"/>
          <w:sz w:val="22"/>
          <w:szCs w:val="22"/>
        </w:rPr>
      </w:pPr>
      <w:r w:rsidRPr="00FB3565">
        <w:rPr>
          <w:rFonts w:ascii="Arial" w:hAnsi="Arial" w:cs="Arial"/>
          <w:sz w:val="22"/>
          <w:szCs w:val="22"/>
        </w:rPr>
        <w:t>Line 413: How homologous are the regions that are called as 'conserved'?</w:t>
      </w:r>
    </w:p>
    <w:p w14:paraId="39067F03" w14:textId="4943721A" w:rsidR="00C64273" w:rsidRDefault="00C64273" w:rsidP="00C07665">
      <w:pPr>
        <w:jc w:val="both"/>
        <w:rPr>
          <w:rFonts w:ascii="Arial" w:hAnsi="Arial" w:cs="Arial"/>
          <w:sz w:val="22"/>
          <w:szCs w:val="22"/>
        </w:rPr>
      </w:pPr>
    </w:p>
    <w:p w14:paraId="3B7D2B62" w14:textId="4D299CFC" w:rsidR="00C64273" w:rsidRDefault="00C64273" w:rsidP="00C07665">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8D3287" w:rsidRPr="008D3287">
        <w:rPr>
          <w:rFonts w:ascii="Arial" w:hAnsi="Arial" w:cs="Arial"/>
          <w:color w:val="2E74B5" w:themeColor="accent5" w:themeShade="BF"/>
          <w:sz w:val="22"/>
          <w:szCs w:val="22"/>
        </w:rPr>
        <w:t xml:space="preserve">The conserved or orthologous regions in mouse (mm10) and human (hg38) genomes for OCRs in rat brain regions were separately identified by using </w:t>
      </w:r>
      <w:proofErr w:type="spellStart"/>
      <w:r w:rsidR="008D3287" w:rsidRPr="008D3287">
        <w:rPr>
          <w:rFonts w:ascii="Arial" w:hAnsi="Arial" w:cs="Arial"/>
          <w:color w:val="2E74B5" w:themeColor="accent5" w:themeShade="BF"/>
          <w:sz w:val="22"/>
          <w:szCs w:val="22"/>
        </w:rPr>
        <w:t>liftOver</w:t>
      </w:r>
      <w:proofErr w:type="spellEnd"/>
      <w:r w:rsidR="008D3287" w:rsidRPr="008D3287">
        <w:rPr>
          <w:rFonts w:ascii="Arial" w:hAnsi="Arial" w:cs="Arial"/>
          <w:color w:val="2E74B5" w:themeColor="accent5" w:themeShade="BF"/>
          <w:sz w:val="22"/>
          <w:szCs w:val="22"/>
        </w:rPr>
        <w:t xml:space="preserve"> software with parameter "-</w:t>
      </w:r>
      <w:proofErr w:type="spellStart"/>
      <w:r w:rsidR="008D3287" w:rsidRPr="008D3287">
        <w:rPr>
          <w:rFonts w:ascii="Arial" w:hAnsi="Arial" w:cs="Arial"/>
          <w:color w:val="2E74B5" w:themeColor="accent5" w:themeShade="BF"/>
          <w:sz w:val="22"/>
          <w:szCs w:val="22"/>
        </w:rPr>
        <w:t>minMatch</w:t>
      </w:r>
      <w:proofErr w:type="spellEnd"/>
      <w:r w:rsidR="008D3287" w:rsidRPr="008D3287">
        <w:rPr>
          <w:rFonts w:ascii="Arial" w:hAnsi="Arial" w:cs="Arial"/>
          <w:color w:val="2E74B5" w:themeColor="accent5" w:themeShade="BF"/>
          <w:sz w:val="22"/>
          <w:szCs w:val="22"/>
        </w:rPr>
        <w:t>=0.6” that means the minimum ratio of bases that must remap between rat genome and mouse/human genome is 0.6.</w:t>
      </w:r>
    </w:p>
    <w:p w14:paraId="3CBF7121" w14:textId="77777777" w:rsidR="00C64273" w:rsidRPr="00FB3565" w:rsidRDefault="00C64273" w:rsidP="00C07665">
      <w:pPr>
        <w:jc w:val="both"/>
        <w:rPr>
          <w:rFonts w:ascii="Arial" w:hAnsi="Arial" w:cs="Arial"/>
          <w:sz w:val="22"/>
          <w:szCs w:val="22"/>
        </w:rPr>
      </w:pPr>
    </w:p>
    <w:p w14:paraId="52C31363" w14:textId="69B12A8A" w:rsidR="00705398" w:rsidRPr="00FB3565" w:rsidRDefault="00705398" w:rsidP="00C07665">
      <w:pPr>
        <w:jc w:val="both"/>
        <w:rPr>
          <w:rFonts w:ascii="Arial" w:hAnsi="Arial" w:cs="Arial"/>
          <w:sz w:val="22"/>
          <w:szCs w:val="22"/>
        </w:rPr>
      </w:pPr>
      <w:r w:rsidRPr="00FB3565">
        <w:rPr>
          <w:rFonts w:ascii="Arial" w:hAnsi="Arial" w:cs="Arial"/>
          <w:sz w:val="22"/>
          <w:szCs w:val="22"/>
        </w:rPr>
        <w:t>Figure 1b: please label meth saline in a different way; the legend is unclear; I do not see regions going from 'closed' to open in these DAR tracks, so I think it is safe to remove that language. I am not even sure if heterochromatin can be recovered in ATAC-seq data.</w:t>
      </w:r>
    </w:p>
    <w:p w14:paraId="5C9E1F7E" w14:textId="35DEC4B9" w:rsidR="009519EB" w:rsidRDefault="009519EB" w:rsidP="00F53D99">
      <w:pPr>
        <w:jc w:val="both"/>
        <w:rPr>
          <w:rFonts w:ascii="Arial" w:hAnsi="Arial" w:cs="Arial"/>
          <w:sz w:val="22"/>
          <w:szCs w:val="22"/>
        </w:rPr>
      </w:pPr>
    </w:p>
    <w:p w14:paraId="3E2DC5B3" w14:textId="6DDD013B" w:rsidR="00C64273" w:rsidRDefault="00C64273"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8D3287" w:rsidRPr="008D3287">
        <w:rPr>
          <w:rFonts w:ascii="Arial" w:hAnsi="Arial" w:cs="Arial"/>
          <w:color w:val="2E74B5" w:themeColor="accent5" w:themeShade="BF"/>
          <w:sz w:val="22"/>
          <w:szCs w:val="22"/>
        </w:rPr>
        <w:t>We modified the</w:t>
      </w:r>
      <w:r w:rsidR="004F2BAB">
        <w:rPr>
          <w:rFonts w:ascii="Arial" w:hAnsi="Arial" w:cs="Arial"/>
          <w:color w:val="2E74B5" w:themeColor="accent5" w:themeShade="BF"/>
          <w:sz w:val="22"/>
          <w:szCs w:val="22"/>
        </w:rPr>
        <w:t xml:space="preserve"> legend labels of </w:t>
      </w:r>
      <w:r w:rsidR="008D3287" w:rsidRPr="008D3287">
        <w:rPr>
          <w:rFonts w:ascii="Arial" w:hAnsi="Arial" w:cs="Arial"/>
          <w:color w:val="2E74B5" w:themeColor="accent5" w:themeShade="BF"/>
          <w:sz w:val="22"/>
          <w:szCs w:val="22"/>
        </w:rPr>
        <w:t xml:space="preserve">meth and saline </w:t>
      </w:r>
      <w:r w:rsidR="004F2BAB">
        <w:rPr>
          <w:rFonts w:ascii="Arial" w:hAnsi="Arial" w:cs="Arial"/>
          <w:color w:val="2E74B5" w:themeColor="accent5" w:themeShade="BF"/>
          <w:sz w:val="22"/>
          <w:szCs w:val="22"/>
        </w:rPr>
        <w:t>samples</w:t>
      </w:r>
      <w:r w:rsidR="008D3287" w:rsidRPr="008D3287">
        <w:rPr>
          <w:rFonts w:ascii="Arial" w:hAnsi="Arial" w:cs="Arial"/>
          <w:color w:val="2E74B5" w:themeColor="accent5" w:themeShade="BF"/>
          <w:sz w:val="22"/>
          <w:szCs w:val="22"/>
        </w:rPr>
        <w:t xml:space="preserve"> in Fig. 1b and removed the language.</w:t>
      </w:r>
    </w:p>
    <w:p w14:paraId="70BA3F43" w14:textId="63D7EF79" w:rsidR="00C64273" w:rsidRDefault="00C64273" w:rsidP="00F53D99">
      <w:pPr>
        <w:jc w:val="both"/>
        <w:rPr>
          <w:rFonts w:ascii="Arial" w:hAnsi="Arial" w:cs="Arial"/>
          <w:sz w:val="22"/>
          <w:szCs w:val="22"/>
        </w:rPr>
      </w:pPr>
    </w:p>
    <w:p w14:paraId="6E0AE832" w14:textId="337AADF1" w:rsidR="004F2BAB" w:rsidRDefault="004F2BAB" w:rsidP="00F53D99">
      <w:pPr>
        <w:jc w:val="both"/>
        <w:rPr>
          <w:rFonts w:ascii="Arial" w:hAnsi="Arial" w:cs="Arial"/>
          <w:sz w:val="22"/>
          <w:szCs w:val="22"/>
        </w:rPr>
      </w:pPr>
    </w:p>
    <w:p w14:paraId="046FC00F" w14:textId="4E27BA31" w:rsidR="004F2BAB" w:rsidRDefault="004F2BAB" w:rsidP="00F53D99">
      <w:pPr>
        <w:jc w:val="both"/>
        <w:rPr>
          <w:rFonts w:ascii="Arial" w:hAnsi="Arial" w:cs="Arial"/>
          <w:sz w:val="22"/>
          <w:szCs w:val="22"/>
        </w:rPr>
      </w:pPr>
    </w:p>
    <w:p w14:paraId="651ED339" w14:textId="6A9A2159" w:rsidR="004F2BAB" w:rsidRDefault="004F2BAB" w:rsidP="00F53D99">
      <w:pPr>
        <w:jc w:val="both"/>
        <w:rPr>
          <w:rFonts w:ascii="Arial" w:hAnsi="Arial" w:cs="Arial"/>
          <w:sz w:val="22"/>
          <w:szCs w:val="22"/>
        </w:rPr>
      </w:pPr>
    </w:p>
    <w:p w14:paraId="35FE45E6" w14:textId="76CC57FA" w:rsidR="004F2BAB" w:rsidRDefault="004F2BAB" w:rsidP="00F53D99">
      <w:pPr>
        <w:jc w:val="both"/>
        <w:rPr>
          <w:rFonts w:ascii="Arial" w:hAnsi="Arial" w:cs="Arial"/>
          <w:sz w:val="22"/>
          <w:szCs w:val="22"/>
        </w:rPr>
      </w:pPr>
    </w:p>
    <w:p w14:paraId="18580058" w14:textId="0311E074" w:rsidR="004F2BAB" w:rsidRDefault="004F2BAB" w:rsidP="00F53D99">
      <w:pPr>
        <w:jc w:val="both"/>
        <w:rPr>
          <w:rFonts w:ascii="Arial" w:hAnsi="Arial" w:cs="Arial"/>
          <w:sz w:val="22"/>
          <w:szCs w:val="22"/>
        </w:rPr>
      </w:pPr>
    </w:p>
    <w:p w14:paraId="5FDC6342" w14:textId="24D8BFC2" w:rsidR="004F2BAB" w:rsidRDefault="004F2BAB" w:rsidP="00F53D99">
      <w:pPr>
        <w:jc w:val="both"/>
        <w:rPr>
          <w:rFonts w:ascii="Arial" w:hAnsi="Arial" w:cs="Arial"/>
          <w:sz w:val="22"/>
          <w:szCs w:val="22"/>
        </w:rPr>
      </w:pPr>
    </w:p>
    <w:p w14:paraId="2A414BB8" w14:textId="2602AE4F" w:rsidR="004F2BAB" w:rsidRDefault="004F2BAB" w:rsidP="00F53D99">
      <w:pPr>
        <w:jc w:val="both"/>
        <w:rPr>
          <w:rFonts w:ascii="Arial" w:hAnsi="Arial" w:cs="Arial"/>
          <w:sz w:val="22"/>
          <w:szCs w:val="22"/>
        </w:rPr>
      </w:pPr>
    </w:p>
    <w:p w14:paraId="4FE5C5B8" w14:textId="3CDF0673" w:rsidR="004F2BAB" w:rsidRDefault="004F2BAB" w:rsidP="00F53D99">
      <w:pPr>
        <w:jc w:val="both"/>
        <w:rPr>
          <w:rFonts w:ascii="Arial" w:hAnsi="Arial" w:cs="Arial"/>
          <w:sz w:val="22"/>
          <w:szCs w:val="22"/>
        </w:rPr>
      </w:pPr>
    </w:p>
    <w:p w14:paraId="5307451D" w14:textId="58F3537C" w:rsidR="004F2BAB" w:rsidRDefault="004F2BAB" w:rsidP="00F53D99">
      <w:pPr>
        <w:jc w:val="both"/>
        <w:rPr>
          <w:rFonts w:ascii="Arial" w:hAnsi="Arial" w:cs="Arial"/>
          <w:sz w:val="22"/>
          <w:szCs w:val="22"/>
        </w:rPr>
      </w:pPr>
    </w:p>
    <w:p w14:paraId="09D68FBF" w14:textId="075541BF" w:rsidR="004F2BAB" w:rsidRDefault="004F2BAB" w:rsidP="00F53D99">
      <w:pPr>
        <w:jc w:val="both"/>
        <w:rPr>
          <w:rFonts w:ascii="Arial" w:hAnsi="Arial" w:cs="Arial"/>
          <w:sz w:val="22"/>
          <w:szCs w:val="22"/>
        </w:rPr>
      </w:pPr>
    </w:p>
    <w:p w14:paraId="6CC7E811" w14:textId="4C1ED068" w:rsidR="004F2BAB" w:rsidRDefault="004F2BAB" w:rsidP="00F53D99">
      <w:pPr>
        <w:jc w:val="both"/>
        <w:rPr>
          <w:rFonts w:ascii="Arial" w:hAnsi="Arial" w:cs="Arial"/>
          <w:sz w:val="22"/>
          <w:szCs w:val="22"/>
        </w:rPr>
      </w:pPr>
    </w:p>
    <w:p w14:paraId="552E05EA" w14:textId="77777777" w:rsidR="004F2BAB" w:rsidRPr="00FB3565" w:rsidRDefault="004F2BAB" w:rsidP="00F53D99">
      <w:pPr>
        <w:jc w:val="both"/>
        <w:rPr>
          <w:rFonts w:ascii="Arial" w:hAnsi="Arial" w:cs="Arial"/>
          <w:sz w:val="22"/>
          <w:szCs w:val="22"/>
        </w:rPr>
      </w:pPr>
      <w:bookmarkStart w:id="42" w:name="_GoBack"/>
      <w:bookmarkEnd w:id="42"/>
    </w:p>
    <w:p w14:paraId="047F439C" w14:textId="77777777" w:rsidR="00A9088A" w:rsidRPr="00FB3565" w:rsidRDefault="00A9088A" w:rsidP="00F53D99">
      <w:pPr>
        <w:jc w:val="both"/>
        <w:rPr>
          <w:rFonts w:ascii="Arial" w:hAnsi="Arial" w:cs="Arial"/>
          <w:sz w:val="22"/>
          <w:szCs w:val="22"/>
        </w:rPr>
      </w:pPr>
      <w:r w:rsidRPr="00FB3565">
        <w:rPr>
          <w:rFonts w:ascii="Arial" w:hAnsi="Arial" w:cs="Arial"/>
          <w:sz w:val="22"/>
          <w:szCs w:val="22"/>
        </w:rPr>
        <w:t>Reviewer #2 (Remarks to the Author):</w:t>
      </w:r>
    </w:p>
    <w:p w14:paraId="21516BF9" w14:textId="77777777" w:rsidR="00A9088A" w:rsidRPr="00FB3565" w:rsidRDefault="00A9088A" w:rsidP="00F53D99">
      <w:pPr>
        <w:jc w:val="both"/>
        <w:rPr>
          <w:rFonts w:ascii="Arial" w:hAnsi="Arial" w:cs="Arial"/>
          <w:sz w:val="22"/>
          <w:szCs w:val="22"/>
        </w:rPr>
      </w:pPr>
    </w:p>
    <w:p w14:paraId="4BC98FC8" w14:textId="2D02382C" w:rsidR="00855A60" w:rsidRPr="00FB3565" w:rsidRDefault="00A9088A" w:rsidP="00F53D99">
      <w:pPr>
        <w:jc w:val="both"/>
        <w:rPr>
          <w:rFonts w:ascii="Arial" w:hAnsi="Arial" w:cs="Arial"/>
          <w:sz w:val="22"/>
          <w:szCs w:val="22"/>
        </w:rPr>
      </w:pPr>
      <w:r w:rsidRPr="00FB3565">
        <w:rPr>
          <w:rFonts w:ascii="Arial" w:hAnsi="Arial" w:cs="Arial"/>
          <w:sz w:val="22"/>
          <w:szCs w:val="22"/>
        </w:rPr>
        <w:t xml:space="preserve">Here, the authors Miao et al. simultaneously employ RNA sequencing and ATAC sequencing approaches to interrogate the brain response to methamphetamine across four distinct brain areas: the nucleus </w:t>
      </w:r>
      <w:proofErr w:type="spellStart"/>
      <w:r w:rsidRPr="00FB3565">
        <w:rPr>
          <w:rFonts w:ascii="Arial" w:hAnsi="Arial" w:cs="Arial"/>
          <w:sz w:val="22"/>
          <w:szCs w:val="22"/>
        </w:rPr>
        <w:t>accumbens</w:t>
      </w:r>
      <w:proofErr w:type="spellEnd"/>
      <w:r w:rsidRPr="00FB3565">
        <w:rPr>
          <w:rFonts w:ascii="Arial" w:hAnsi="Arial" w:cs="Arial"/>
          <w:sz w:val="22"/>
          <w:szCs w:val="22"/>
        </w:rPr>
        <w:t xml:space="preserve">, dentate gyrus, Ammon’s horn, and subventricular zone. The work is rigorous and the figures in particular are nicely done. In particular, I am </w:t>
      </w:r>
      <w:bookmarkStart w:id="43" w:name="OLE_LINK14"/>
      <w:bookmarkStart w:id="44" w:name="OLE_LINK15"/>
      <w:r w:rsidRPr="00FB3565">
        <w:rPr>
          <w:rFonts w:ascii="Arial" w:hAnsi="Arial" w:cs="Arial"/>
          <w:sz w:val="22"/>
          <w:szCs w:val="22"/>
        </w:rPr>
        <w:t xml:space="preserve">enthusiastic </w:t>
      </w:r>
      <w:bookmarkEnd w:id="43"/>
      <w:bookmarkEnd w:id="44"/>
      <w:r w:rsidRPr="00FB3565">
        <w:rPr>
          <w:rFonts w:ascii="Arial" w:hAnsi="Arial" w:cs="Arial"/>
          <w:sz w:val="22"/>
          <w:szCs w:val="22"/>
        </w:rPr>
        <w:t xml:space="preserve">about how the authors interpreted their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in terms of conservation in the human genome and alongside GWAS studies. However, concerns about the novelty of this work given the ubiquity of similar studies, incomplete methodological descriptions, and the lack of novel conclusions that unify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to yield substantially novel insights into the neurobiology of methamphetamine use reduce my enthusiasm for the publication of this work in Communications Biology. I have broken my critiques into major and minor below:</w:t>
      </w:r>
    </w:p>
    <w:p w14:paraId="4931A81B" w14:textId="110AEF86" w:rsidR="00B424A0" w:rsidRPr="00FB3565" w:rsidRDefault="00B424A0" w:rsidP="00F53D99">
      <w:pPr>
        <w:jc w:val="both"/>
        <w:rPr>
          <w:rFonts w:ascii="Arial" w:hAnsi="Arial" w:cs="Arial"/>
          <w:sz w:val="22"/>
          <w:szCs w:val="22"/>
        </w:rPr>
      </w:pPr>
    </w:p>
    <w:p w14:paraId="0B10FC75" w14:textId="77777777" w:rsidR="00B424A0" w:rsidRPr="00FB3565" w:rsidRDefault="00B424A0" w:rsidP="00F53D99">
      <w:pPr>
        <w:jc w:val="both"/>
        <w:rPr>
          <w:rFonts w:ascii="Arial" w:hAnsi="Arial" w:cs="Arial"/>
          <w:sz w:val="22"/>
          <w:szCs w:val="22"/>
        </w:rPr>
      </w:pPr>
      <w:r w:rsidRPr="00FB3565">
        <w:rPr>
          <w:rFonts w:ascii="Arial" w:hAnsi="Arial" w:cs="Arial"/>
          <w:sz w:val="22"/>
          <w:szCs w:val="22"/>
        </w:rPr>
        <w:t>Major:</w:t>
      </w:r>
    </w:p>
    <w:p w14:paraId="25B1B9D2" w14:textId="77777777" w:rsidR="00B424A0" w:rsidRPr="00FB3565" w:rsidRDefault="00B424A0" w:rsidP="00F53D99">
      <w:pPr>
        <w:jc w:val="both"/>
        <w:rPr>
          <w:rFonts w:ascii="Arial" w:hAnsi="Arial" w:cs="Arial"/>
          <w:sz w:val="22"/>
          <w:szCs w:val="22"/>
        </w:rPr>
      </w:pPr>
    </w:p>
    <w:p w14:paraId="65948B37" w14:textId="77777777" w:rsidR="007957B5" w:rsidRDefault="00B424A0" w:rsidP="00F53D99">
      <w:pPr>
        <w:jc w:val="both"/>
        <w:rPr>
          <w:rFonts w:ascii="Arial" w:hAnsi="Arial" w:cs="Arial"/>
          <w:sz w:val="22"/>
          <w:szCs w:val="22"/>
        </w:rPr>
      </w:pPr>
      <w:r w:rsidRPr="00FB3565">
        <w:rPr>
          <w:rFonts w:ascii="Arial" w:hAnsi="Arial" w:cs="Arial"/>
          <w:sz w:val="22"/>
          <w:szCs w:val="22"/>
        </w:rPr>
        <w:t xml:space="preserve">1) The primary limitation of this study is that it is unclear how this research significantly advances the field beyond existing studies that employ similar transcriptomic and epigenetic analyses in METH exposed rodent brain. There are many manuscripts that utilize RNA sequencing in </w:t>
      </w:r>
      <w:proofErr w:type="spellStart"/>
      <w:r w:rsidRPr="00FB3565">
        <w:rPr>
          <w:rFonts w:ascii="Arial" w:hAnsi="Arial" w:cs="Arial"/>
          <w:sz w:val="22"/>
          <w:szCs w:val="22"/>
        </w:rPr>
        <w:t>microdissected</w:t>
      </w:r>
      <w:proofErr w:type="spellEnd"/>
      <w:r w:rsidRPr="00FB3565">
        <w:rPr>
          <w:rFonts w:ascii="Arial" w:hAnsi="Arial" w:cs="Arial"/>
          <w:sz w:val="22"/>
          <w:szCs w:val="22"/>
        </w:rPr>
        <w:t xml:space="preserve"> brain regions from METH exposed rodents (see a few example citations below), and the authors acknowledge that ATAC-seq has been performed to explore open chromatin regions associated with exposure to METH (ref 45). </w:t>
      </w:r>
    </w:p>
    <w:p w14:paraId="3859BB9A" w14:textId="77777777" w:rsidR="007957B5" w:rsidRDefault="007957B5" w:rsidP="00F53D99">
      <w:pPr>
        <w:jc w:val="both"/>
        <w:rPr>
          <w:rFonts w:ascii="Arial" w:hAnsi="Arial" w:cs="Arial"/>
          <w:sz w:val="22"/>
          <w:szCs w:val="22"/>
        </w:rPr>
      </w:pPr>
    </w:p>
    <w:p w14:paraId="45BFC59D" w14:textId="0EADB086" w:rsidR="00961A65" w:rsidRDefault="00B424A0" w:rsidP="00F53D99">
      <w:pPr>
        <w:jc w:val="both"/>
        <w:rPr>
          <w:rFonts w:ascii="Arial" w:hAnsi="Arial" w:cs="Arial"/>
          <w:sz w:val="22"/>
          <w:szCs w:val="22"/>
        </w:rPr>
      </w:pPr>
      <w:r w:rsidRPr="00FB3565">
        <w:rPr>
          <w:rFonts w:ascii="Arial" w:hAnsi="Arial" w:cs="Arial"/>
          <w:sz w:val="22"/>
          <w:szCs w:val="22"/>
        </w:rPr>
        <w:t xml:space="preserve">It is unclear to me how this work presents novel advancement to our understanding of METH-induced neurobiology beyond what was discovered in these earlier manuscripts. To begin to address this, the authors should include a thorough discussion of the conclusions of the other studies that performed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or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in METH exposed rodent brain and clearly articulate similarities identified in this study as well as the meaningful ways in which this research differs from earlier</w:t>
      </w:r>
      <w:r w:rsidR="00CA7999">
        <w:rPr>
          <w:rFonts w:ascii="Arial" w:hAnsi="Arial" w:cs="Arial"/>
          <w:sz w:val="22"/>
          <w:szCs w:val="22"/>
        </w:rPr>
        <w:t xml:space="preserve"> </w:t>
      </w:r>
      <w:r w:rsidRPr="00FB3565">
        <w:rPr>
          <w:rFonts w:ascii="Arial" w:hAnsi="Arial" w:cs="Arial"/>
          <w:sz w:val="22"/>
          <w:szCs w:val="22"/>
        </w:rPr>
        <w:t>work to advance the field.</w:t>
      </w:r>
    </w:p>
    <w:p w14:paraId="5B632CE7" w14:textId="77777777" w:rsidR="00CA7999" w:rsidRPr="00FB3565" w:rsidRDefault="00CA7999" w:rsidP="00F53D99">
      <w:pPr>
        <w:jc w:val="both"/>
        <w:rPr>
          <w:rFonts w:ascii="Arial" w:hAnsi="Arial" w:cs="Arial"/>
          <w:sz w:val="22"/>
          <w:szCs w:val="22"/>
        </w:rPr>
      </w:pPr>
    </w:p>
    <w:p w14:paraId="69817530" w14:textId="3D913436"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Goncalves TM, Southey BR, Rodriguez-Zas SL. Interplay Between Amphetamine and Activity Level in Gene Networks of the Mouse Striatum. </w:t>
      </w:r>
      <w:proofErr w:type="spellStart"/>
      <w:r w:rsidRPr="00FB3565">
        <w:rPr>
          <w:rFonts w:ascii="Arial" w:hAnsi="Arial" w:cs="Arial"/>
          <w:sz w:val="22"/>
          <w:szCs w:val="22"/>
        </w:rPr>
        <w:t>Bioinform</w:t>
      </w:r>
      <w:proofErr w:type="spellEnd"/>
      <w:r w:rsidRPr="00FB3565">
        <w:rPr>
          <w:rFonts w:ascii="Arial" w:hAnsi="Arial" w:cs="Arial"/>
          <w:sz w:val="22"/>
          <w:szCs w:val="22"/>
        </w:rPr>
        <w:t xml:space="preserve"> </w:t>
      </w:r>
      <w:proofErr w:type="spellStart"/>
      <w:r w:rsidRPr="00FB3565">
        <w:rPr>
          <w:rFonts w:ascii="Arial" w:hAnsi="Arial" w:cs="Arial"/>
          <w:sz w:val="22"/>
          <w:szCs w:val="22"/>
        </w:rPr>
        <w:t>Biol</w:t>
      </w:r>
      <w:proofErr w:type="spellEnd"/>
      <w:r w:rsidRPr="00FB3565">
        <w:rPr>
          <w:rFonts w:ascii="Arial" w:hAnsi="Arial" w:cs="Arial"/>
          <w:sz w:val="22"/>
          <w:szCs w:val="22"/>
        </w:rPr>
        <w:t xml:space="preserve"> Insights. 2018 Dec </w:t>
      </w:r>
      <w:proofErr w:type="gramStart"/>
      <w:r w:rsidRPr="00FB3565">
        <w:rPr>
          <w:rFonts w:ascii="Arial" w:hAnsi="Arial" w:cs="Arial"/>
          <w:sz w:val="22"/>
          <w:szCs w:val="22"/>
        </w:rPr>
        <w:t>11;12:1177932218815152</w:t>
      </w:r>
      <w:proofErr w:type="gramEnd"/>
      <w:r w:rsidRPr="00FB3565">
        <w:rPr>
          <w:rFonts w:ascii="Arial" w:hAnsi="Arial" w:cs="Arial"/>
          <w:sz w:val="22"/>
          <w:szCs w:val="22"/>
        </w:rPr>
        <w:t xml:space="preserve">. </w:t>
      </w:r>
      <w:proofErr w:type="spellStart"/>
      <w:r w:rsidRPr="00FB3565">
        <w:rPr>
          <w:rFonts w:ascii="Arial" w:hAnsi="Arial" w:cs="Arial"/>
          <w:sz w:val="22"/>
          <w:szCs w:val="22"/>
        </w:rPr>
        <w:t>doi</w:t>
      </w:r>
      <w:proofErr w:type="spellEnd"/>
      <w:r w:rsidRPr="00FB3565">
        <w:rPr>
          <w:rFonts w:ascii="Arial" w:hAnsi="Arial" w:cs="Arial"/>
          <w:sz w:val="22"/>
          <w:szCs w:val="22"/>
        </w:rPr>
        <w:t>: 10.1177/1177932218815152. PMID: 30559594; PMCID: PMC6291885.</w:t>
      </w:r>
    </w:p>
    <w:p w14:paraId="20ED471F" w14:textId="068CD709"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Jang WJ, Son T, Song SH, Ryu IS, Lee S, </w:t>
      </w:r>
      <w:proofErr w:type="spellStart"/>
      <w:r w:rsidRPr="00FB3565">
        <w:rPr>
          <w:rFonts w:ascii="Arial" w:hAnsi="Arial" w:cs="Arial"/>
          <w:sz w:val="22"/>
          <w:szCs w:val="22"/>
        </w:rPr>
        <w:t>Jeong</w:t>
      </w:r>
      <w:proofErr w:type="spellEnd"/>
      <w:r w:rsidRPr="00FB3565">
        <w:rPr>
          <w:rFonts w:ascii="Arial" w:hAnsi="Arial" w:cs="Arial"/>
          <w:sz w:val="22"/>
          <w:szCs w:val="22"/>
        </w:rPr>
        <w:t xml:space="preserve"> CH. Transcriptional Profiling of Whisker Follicles and of the Striatum in Methamphetamine Self-Administered Rats. Int J Mol Sci. 2020 Nov 23;21(22):8856. </w:t>
      </w:r>
      <w:proofErr w:type="spellStart"/>
      <w:r w:rsidRPr="00FB3565">
        <w:rPr>
          <w:rFonts w:ascii="Arial" w:hAnsi="Arial" w:cs="Arial"/>
          <w:sz w:val="22"/>
          <w:szCs w:val="22"/>
        </w:rPr>
        <w:t>doi</w:t>
      </w:r>
      <w:proofErr w:type="spellEnd"/>
      <w:r w:rsidRPr="00FB3565">
        <w:rPr>
          <w:rFonts w:ascii="Arial" w:hAnsi="Arial" w:cs="Arial"/>
          <w:sz w:val="22"/>
          <w:szCs w:val="22"/>
        </w:rPr>
        <w:t>: 10.3390/ijms21228856. PMID: 33238484; PMCID: PMC7700365.</w:t>
      </w:r>
    </w:p>
    <w:p w14:paraId="06828136" w14:textId="64221875"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Cates HM, Li X, </w:t>
      </w:r>
      <w:proofErr w:type="spellStart"/>
      <w:r w:rsidRPr="00FB3565">
        <w:rPr>
          <w:rFonts w:ascii="Arial" w:hAnsi="Arial" w:cs="Arial"/>
          <w:sz w:val="22"/>
          <w:szCs w:val="22"/>
        </w:rPr>
        <w:t>Purushothaman</w:t>
      </w:r>
      <w:proofErr w:type="spellEnd"/>
      <w:r w:rsidRPr="00FB3565">
        <w:rPr>
          <w:rFonts w:ascii="Arial" w:hAnsi="Arial" w:cs="Arial"/>
          <w:sz w:val="22"/>
          <w:szCs w:val="22"/>
        </w:rPr>
        <w:t xml:space="preserve"> I, Kennedy PJ, Shen L, </w:t>
      </w:r>
      <w:proofErr w:type="spellStart"/>
      <w:r w:rsidRPr="00FB3565">
        <w:rPr>
          <w:rFonts w:ascii="Arial" w:hAnsi="Arial" w:cs="Arial"/>
          <w:sz w:val="22"/>
          <w:szCs w:val="22"/>
        </w:rPr>
        <w:t>Shaham</w:t>
      </w:r>
      <w:proofErr w:type="spellEnd"/>
      <w:r w:rsidRPr="00FB3565">
        <w:rPr>
          <w:rFonts w:ascii="Arial" w:hAnsi="Arial" w:cs="Arial"/>
          <w:sz w:val="22"/>
          <w:szCs w:val="22"/>
        </w:rPr>
        <w:t xml:space="preserve"> Y, </w:t>
      </w:r>
      <w:proofErr w:type="spellStart"/>
      <w:r w:rsidRPr="00FB3565">
        <w:rPr>
          <w:rFonts w:ascii="Arial" w:hAnsi="Arial" w:cs="Arial"/>
          <w:sz w:val="22"/>
          <w:szCs w:val="22"/>
        </w:rPr>
        <w:t>Nestler</w:t>
      </w:r>
      <w:proofErr w:type="spellEnd"/>
      <w:r w:rsidRPr="00FB3565">
        <w:rPr>
          <w:rFonts w:ascii="Arial" w:hAnsi="Arial" w:cs="Arial"/>
          <w:sz w:val="22"/>
          <w:szCs w:val="22"/>
        </w:rPr>
        <w:t xml:space="preserve"> EJ. Genome-wide transcriptional profiling of central amygdala and orbitofrontal cortex during incubation of methamphetamine craving. Neuropsychopharmacology. 2018 Nov;43(12):2426-2434. </w:t>
      </w:r>
      <w:proofErr w:type="spellStart"/>
      <w:r w:rsidRPr="00FB3565">
        <w:rPr>
          <w:rFonts w:ascii="Arial" w:hAnsi="Arial" w:cs="Arial"/>
          <w:sz w:val="22"/>
          <w:szCs w:val="22"/>
        </w:rPr>
        <w:t>doi</w:t>
      </w:r>
      <w:proofErr w:type="spellEnd"/>
      <w:r w:rsidRPr="00FB3565">
        <w:rPr>
          <w:rFonts w:ascii="Arial" w:hAnsi="Arial" w:cs="Arial"/>
          <w:sz w:val="22"/>
          <w:szCs w:val="22"/>
        </w:rPr>
        <w:t xml:space="preserve">: 10.1038/s41386-018-0158-x. </w:t>
      </w:r>
      <w:proofErr w:type="spellStart"/>
      <w:r w:rsidRPr="00FB3565">
        <w:rPr>
          <w:rFonts w:ascii="Arial" w:hAnsi="Arial" w:cs="Arial"/>
          <w:sz w:val="22"/>
          <w:szCs w:val="22"/>
        </w:rPr>
        <w:t>Epub</w:t>
      </w:r>
      <w:proofErr w:type="spellEnd"/>
      <w:r w:rsidRPr="00FB3565">
        <w:rPr>
          <w:rFonts w:ascii="Arial" w:hAnsi="Arial" w:cs="Arial"/>
          <w:sz w:val="22"/>
          <w:szCs w:val="22"/>
        </w:rPr>
        <w:t xml:space="preserve"> 2018 Jul 20. PMID: 30072726; PMCID: PMC6180053.</w:t>
      </w:r>
    </w:p>
    <w:p w14:paraId="57A3B32E" w14:textId="77777777"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Zhu L, Li J, Dong N, Guan F, Liu Y, Ma D, Goh EL, Chen T. mRNA changes in nucleus </w:t>
      </w:r>
      <w:proofErr w:type="spellStart"/>
      <w:r w:rsidRPr="00FB3565">
        <w:rPr>
          <w:rFonts w:ascii="Arial" w:hAnsi="Arial" w:cs="Arial"/>
          <w:sz w:val="22"/>
          <w:szCs w:val="22"/>
        </w:rPr>
        <w:t>accumbens</w:t>
      </w:r>
      <w:proofErr w:type="spellEnd"/>
      <w:r w:rsidRPr="00FB3565">
        <w:rPr>
          <w:rFonts w:ascii="Arial" w:hAnsi="Arial" w:cs="Arial"/>
          <w:sz w:val="22"/>
          <w:szCs w:val="22"/>
        </w:rPr>
        <w:t xml:space="preserve"> related to methamphetamine addiction in mice. Sci Rep. 2016 Nov </w:t>
      </w:r>
      <w:proofErr w:type="gramStart"/>
      <w:r w:rsidRPr="00FB3565">
        <w:rPr>
          <w:rFonts w:ascii="Arial" w:hAnsi="Arial" w:cs="Arial"/>
          <w:sz w:val="22"/>
          <w:szCs w:val="22"/>
        </w:rPr>
        <w:t>21;6:36993</w:t>
      </w:r>
      <w:proofErr w:type="gramEnd"/>
      <w:r w:rsidRPr="00FB3565">
        <w:rPr>
          <w:rFonts w:ascii="Arial" w:hAnsi="Arial" w:cs="Arial"/>
          <w:sz w:val="22"/>
          <w:szCs w:val="22"/>
        </w:rPr>
        <w:t xml:space="preserve">. </w:t>
      </w:r>
      <w:proofErr w:type="spellStart"/>
      <w:r w:rsidRPr="00FB3565">
        <w:rPr>
          <w:rFonts w:ascii="Arial" w:hAnsi="Arial" w:cs="Arial"/>
          <w:sz w:val="22"/>
          <w:szCs w:val="22"/>
        </w:rPr>
        <w:t>doi</w:t>
      </w:r>
      <w:proofErr w:type="spellEnd"/>
      <w:r w:rsidRPr="00FB3565">
        <w:rPr>
          <w:rFonts w:ascii="Arial" w:hAnsi="Arial" w:cs="Arial"/>
          <w:sz w:val="22"/>
          <w:szCs w:val="22"/>
        </w:rPr>
        <w:t>: 10.1038/srep36993. PMID: 27869204; PMCID: PMC5116666.</w:t>
      </w:r>
    </w:p>
    <w:p w14:paraId="3E1DDF40" w14:textId="77777777" w:rsidR="00961A65" w:rsidRPr="00FB3565" w:rsidRDefault="00961A65" w:rsidP="00F53D99">
      <w:pPr>
        <w:jc w:val="both"/>
        <w:rPr>
          <w:rFonts w:ascii="Arial" w:hAnsi="Arial" w:cs="Arial"/>
          <w:sz w:val="22"/>
          <w:szCs w:val="22"/>
        </w:rPr>
      </w:pPr>
    </w:p>
    <w:p w14:paraId="25D3822B" w14:textId="07060DCD" w:rsidR="009519EB" w:rsidRDefault="00961A65" w:rsidP="00F53D99">
      <w:pPr>
        <w:jc w:val="both"/>
        <w:rPr>
          <w:rFonts w:ascii="Arial" w:hAnsi="Arial" w:cs="Arial"/>
          <w:sz w:val="22"/>
          <w:szCs w:val="22"/>
        </w:rPr>
      </w:pPr>
      <w:r w:rsidRPr="00FB3565">
        <w:rPr>
          <w:rFonts w:ascii="Arial" w:hAnsi="Arial" w:cs="Arial"/>
          <w:sz w:val="22"/>
          <w:szCs w:val="22"/>
        </w:rPr>
        <w:t xml:space="preserve">Palmer AA, </w:t>
      </w:r>
      <w:proofErr w:type="spellStart"/>
      <w:r w:rsidRPr="00FB3565">
        <w:rPr>
          <w:rFonts w:ascii="Arial" w:hAnsi="Arial" w:cs="Arial"/>
          <w:sz w:val="22"/>
          <w:szCs w:val="22"/>
        </w:rPr>
        <w:t>Verbitsky</w:t>
      </w:r>
      <w:proofErr w:type="spellEnd"/>
      <w:r w:rsidRPr="00FB3565">
        <w:rPr>
          <w:rFonts w:ascii="Arial" w:hAnsi="Arial" w:cs="Arial"/>
          <w:sz w:val="22"/>
          <w:szCs w:val="22"/>
        </w:rPr>
        <w:t xml:space="preserve"> M, Suresh R, </w:t>
      </w:r>
      <w:proofErr w:type="spellStart"/>
      <w:r w:rsidRPr="00FB3565">
        <w:rPr>
          <w:rFonts w:ascii="Arial" w:hAnsi="Arial" w:cs="Arial"/>
          <w:sz w:val="22"/>
          <w:szCs w:val="22"/>
        </w:rPr>
        <w:t>Kamens</w:t>
      </w:r>
      <w:proofErr w:type="spellEnd"/>
      <w:r w:rsidRPr="00FB3565">
        <w:rPr>
          <w:rFonts w:ascii="Arial" w:hAnsi="Arial" w:cs="Arial"/>
          <w:sz w:val="22"/>
          <w:szCs w:val="22"/>
        </w:rPr>
        <w:t xml:space="preserve"> HM, Reed CL, Li N, Burkhart-</w:t>
      </w:r>
      <w:proofErr w:type="spellStart"/>
      <w:r w:rsidRPr="00FB3565">
        <w:rPr>
          <w:rFonts w:ascii="Arial" w:hAnsi="Arial" w:cs="Arial"/>
          <w:sz w:val="22"/>
          <w:szCs w:val="22"/>
        </w:rPr>
        <w:t>Kasch</w:t>
      </w:r>
      <w:proofErr w:type="spellEnd"/>
      <w:r w:rsidRPr="00FB3565">
        <w:rPr>
          <w:rFonts w:ascii="Arial" w:hAnsi="Arial" w:cs="Arial"/>
          <w:sz w:val="22"/>
          <w:szCs w:val="22"/>
        </w:rPr>
        <w:t xml:space="preserve"> S, McKinnon CS, Belknap JK, Gilliam TC, Phillips TJ. Gene expression differences in mice divergently selected for methamphetamine sensitivity. </w:t>
      </w:r>
      <w:proofErr w:type="spellStart"/>
      <w:r w:rsidRPr="00FB3565">
        <w:rPr>
          <w:rFonts w:ascii="Arial" w:hAnsi="Arial" w:cs="Arial"/>
          <w:sz w:val="22"/>
          <w:szCs w:val="22"/>
        </w:rPr>
        <w:t>Mamm</w:t>
      </w:r>
      <w:proofErr w:type="spellEnd"/>
      <w:r w:rsidRPr="00FB3565">
        <w:rPr>
          <w:rFonts w:ascii="Arial" w:hAnsi="Arial" w:cs="Arial"/>
          <w:sz w:val="22"/>
          <w:szCs w:val="22"/>
        </w:rPr>
        <w:t xml:space="preserve"> Genome. 2005 May;16(5):291-305. </w:t>
      </w:r>
      <w:proofErr w:type="spellStart"/>
      <w:r w:rsidRPr="00FB3565">
        <w:rPr>
          <w:rFonts w:ascii="Arial" w:hAnsi="Arial" w:cs="Arial"/>
          <w:sz w:val="22"/>
          <w:szCs w:val="22"/>
        </w:rPr>
        <w:t>doi</w:t>
      </w:r>
      <w:proofErr w:type="spellEnd"/>
      <w:r w:rsidRPr="00FB3565">
        <w:rPr>
          <w:rFonts w:ascii="Arial" w:hAnsi="Arial" w:cs="Arial"/>
          <w:sz w:val="22"/>
          <w:szCs w:val="22"/>
        </w:rPr>
        <w:t>: 10.1007/s00335-004-2451-8. PMID: 16104378.</w:t>
      </w:r>
    </w:p>
    <w:p w14:paraId="0E4C29E6" w14:textId="1AF0076B" w:rsidR="00CA7999" w:rsidRDefault="00CA7999" w:rsidP="00F53D99">
      <w:pPr>
        <w:jc w:val="both"/>
        <w:rPr>
          <w:rFonts w:ascii="Arial" w:hAnsi="Arial" w:cs="Arial"/>
          <w:sz w:val="22"/>
          <w:szCs w:val="22"/>
        </w:rPr>
      </w:pPr>
    </w:p>
    <w:p w14:paraId="5072A048" w14:textId="0CAD59E5" w:rsidR="007957B5" w:rsidRPr="00136E43" w:rsidRDefault="007957B5" w:rsidP="007957B5">
      <w:pPr>
        <w:jc w:val="both"/>
        <w:rPr>
          <w:rFonts w:ascii="Arial" w:hAnsi="Arial" w:cs="Arial"/>
          <w:color w:val="7030A0"/>
          <w:sz w:val="22"/>
          <w:szCs w:val="22"/>
        </w:rPr>
      </w:pPr>
      <w:r w:rsidRPr="00136E43">
        <w:rPr>
          <w:rFonts w:ascii="Arial" w:hAnsi="Arial" w:cs="Arial"/>
          <w:b/>
          <w:bCs/>
          <w:color w:val="7030A0"/>
          <w:sz w:val="22"/>
          <w:szCs w:val="22"/>
        </w:rPr>
        <w:lastRenderedPageBreak/>
        <w:t>From AM</w:t>
      </w:r>
      <w:r w:rsidRPr="00136E43">
        <w:rPr>
          <w:rFonts w:ascii="Arial" w:hAnsi="Arial" w:cs="Arial"/>
          <w:color w:val="7030A0"/>
          <w:sz w:val="22"/>
          <w:szCs w:val="22"/>
        </w:rPr>
        <w:t>: We are the first to examine gene expression in SVZ and compare the responses of both zones to high doses of METH. Therefore, our results add to the knowledge on METH neurotoxicity. The articles cited above examined different brain areas than we did and used chronic METH paradigms which were not necessarily neurotoxic. Our study was not intended to research METH addiction or relapse but neurotoxicity of high METH doses which we termed an overdose. Admittedly, this paradigm does not mimic human behavior (humans usually overdose after previous chronic METH administration not after first time drug use). We could expose rats to chronic METH and then to METH binge; however, the results would be a mix of chronic and acute responses to METH. The paradigm we used is an established model of METH neurotoxicity and is not confounded by cell responses to chronic METH.</w:t>
      </w:r>
    </w:p>
    <w:p w14:paraId="587BBE13" w14:textId="77777777" w:rsidR="007957B5" w:rsidRPr="00136E43" w:rsidRDefault="007957B5" w:rsidP="007957B5">
      <w:pPr>
        <w:jc w:val="both"/>
        <w:rPr>
          <w:rFonts w:ascii="Arial" w:hAnsi="Arial" w:cs="Arial"/>
          <w:color w:val="7030A0"/>
          <w:sz w:val="22"/>
          <w:szCs w:val="22"/>
        </w:rPr>
      </w:pPr>
      <w:r w:rsidRPr="00136E43">
        <w:rPr>
          <w:rFonts w:ascii="Arial" w:hAnsi="Arial" w:cs="Arial"/>
          <w:color w:val="7030A0"/>
          <w:sz w:val="22"/>
          <w:szCs w:val="22"/>
        </w:rPr>
        <w:t xml:space="preserve">Simultaneous comparison of the 4 brain areas we chosen has not have been done before. </w:t>
      </w:r>
    </w:p>
    <w:p w14:paraId="04B3C471" w14:textId="77777777" w:rsidR="00CA7999" w:rsidRPr="00FB3565" w:rsidRDefault="00CA7999" w:rsidP="00F53D99">
      <w:pPr>
        <w:jc w:val="both"/>
        <w:rPr>
          <w:rFonts w:ascii="Arial" w:hAnsi="Arial" w:cs="Arial"/>
          <w:sz w:val="22"/>
          <w:szCs w:val="22"/>
        </w:rPr>
      </w:pPr>
    </w:p>
    <w:p w14:paraId="1B252486"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 xml:space="preserve">2) It is not clearly articulated in the introduction </w:t>
      </w:r>
      <w:commentRangeStart w:id="45"/>
      <w:r w:rsidRPr="00FB3565">
        <w:rPr>
          <w:rFonts w:ascii="Arial" w:hAnsi="Arial" w:cs="Arial"/>
          <w:sz w:val="22"/>
          <w:szCs w:val="22"/>
        </w:rPr>
        <w:t>why these four specific brain regions were selected for analysis</w:t>
      </w:r>
      <w:commentRangeEnd w:id="45"/>
      <w:r w:rsidRPr="00FB3565">
        <w:rPr>
          <w:rStyle w:val="CommentReference"/>
          <w:rFonts w:ascii="Arial" w:hAnsi="Arial" w:cs="Arial"/>
          <w:sz w:val="22"/>
          <w:szCs w:val="22"/>
        </w:rPr>
        <w:commentReference w:id="45"/>
      </w:r>
      <w:r w:rsidRPr="00FB3565">
        <w:rPr>
          <w:rFonts w:ascii="Arial" w:hAnsi="Arial" w:cs="Arial"/>
          <w:sz w:val="22"/>
          <w:szCs w:val="22"/>
        </w:rPr>
        <w:t xml:space="preserve">. It is particularly important that the authors introduce </w:t>
      </w:r>
      <w:r w:rsidRPr="00FB3565">
        <w:rPr>
          <w:rFonts w:ascii="Arial" w:hAnsi="Arial" w:cs="Arial"/>
          <w:color w:val="FF0000"/>
          <w:sz w:val="22"/>
          <w:szCs w:val="22"/>
        </w:rPr>
        <w:t xml:space="preserve">Ammon’s horn </w:t>
      </w:r>
      <w:r w:rsidRPr="00FB3565">
        <w:rPr>
          <w:rFonts w:ascii="Arial" w:hAnsi="Arial" w:cs="Arial"/>
          <w:sz w:val="22"/>
          <w:szCs w:val="22"/>
        </w:rPr>
        <w:t xml:space="preserve">and explain the rationale for inclusion in this study, since, in my mind, it is not commonly associated with the pathophysiology of METH. Given that many of these regions may not express the dopamine transporter protein (i.e. the primary site of pharmacological action for METH) the authors should discuss how METH exposure might be </w:t>
      </w:r>
      <w:bookmarkStart w:id="46" w:name="OLE_LINK16"/>
      <w:bookmarkStart w:id="47" w:name="OLE_LINK17"/>
      <w:r w:rsidRPr="00FB3565">
        <w:rPr>
          <w:rFonts w:ascii="Arial" w:hAnsi="Arial" w:cs="Arial"/>
          <w:sz w:val="22"/>
          <w:szCs w:val="22"/>
        </w:rPr>
        <w:t xml:space="preserve">manifesting </w:t>
      </w:r>
      <w:bookmarkEnd w:id="46"/>
      <w:bookmarkEnd w:id="47"/>
      <w:r w:rsidRPr="00FB3565">
        <w:rPr>
          <w:rFonts w:ascii="Arial" w:hAnsi="Arial" w:cs="Arial"/>
          <w:sz w:val="22"/>
          <w:szCs w:val="22"/>
        </w:rPr>
        <w:t>these DEGs and DARs.</w:t>
      </w:r>
    </w:p>
    <w:p w14:paraId="7AF6EAEA" w14:textId="4C5CB815" w:rsidR="00FC2303" w:rsidRDefault="00FC2303" w:rsidP="00F53D99">
      <w:pPr>
        <w:jc w:val="both"/>
        <w:rPr>
          <w:rFonts w:ascii="Arial" w:hAnsi="Arial" w:cs="Arial"/>
          <w:sz w:val="22"/>
          <w:szCs w:val="22"/>
        </w:rPr>
      </w:pPr>
    </w:p>
    <w:p w14:paraId="06D2C143" w14:textId="71F6D165" w:rsidR="00136E43" w:rsidRPr="000560D4" w:rsidRDefault="00136E43" w:rsidP="00136E43">
      <w:pPr>
        <w:jc w:val="both"/>
        <w:rPr>
          <w:color w:val="7030A0"/>
        </w:rPr>
      </w:pPr>
      <w:r w:rsidRPr="00136E43">
        <w:rPr>
          <w:b/>
          <w:bCs/>
          <w:color w:val="7030A0"/>
        </w:rPr>
        <w:t>From AM:</w:t>
      </w:r>
      <w:r>
        <w:rPr>
          <w:color w:val="7030A0"/>
        </w:rPr>
        <w:t xml:space="preserve"> The A</w:t>
      </w:r>
      <w:r w:rsidRPr="000560D4">
        <w:rPr>
          <w:color w:val="7030A0"/>
        </w:rPr>
        <w:t xml:space="preserve">mmons horn is </w:t>
      </w:r>
      <w:r>
        <w:rPr>
          <w:color w:val="7030A0"/>
        </w:rPr>
        <w:t>an</w:t>
      </w:r>
      <w:r w:rsidRPr="000560D4">
        <w:rPr>
          <w:color w:val="7030A0"/>
        </w:rPr>
        <w:t xml:space="preserve"> earlier name for the hippocampus </w:t>
      </w:r>
      <w:r>
        <w:rPr>
          <w:color w:val="7030A0"/>
        </w:rPr>
        <w:t xml:space="preserve">proper (called often just hippocampus) </w:t>
      </w:r>
      <w:r w:rsidRPr="000560D4">
        <w:rPr>
          <w:color w:val="7030A0"/>
        </w:rPr>
        <w:t>and consists of subregions CA1-CA3.</w:t>
      </w:r>
      <w:r>
        <w:rPr>
          <w:color w:val="7030A0"/>
        </w:rPr>
        <w:t xml:space="preserve"> The Ammons horn together with the </w:t>
      </w:r>
      <w:r w:rsidRPr="000560D4">
        <w:rPr>
          <w:color w:val="7030A0"/>
        </w:rPr>
        <w:t xml:space="preserve">dentate gyrus, the </w:t>
      </w:r>
      <w:proofErr w:type="spellStart"/>
      <w:r w:rsidRPr="000560D4">
        <w:rPr>
          <w:color w:val="7030A0"/>
        </w:rPr>
        <w:t>subicular</w:t>
      </w:r>
      <w:proofErr w:type="spellEnd"/>
      <w:r w:rsidRPr="000560D4">
        <w:rPr>
          <w:color w:val="7030A0"/>
        </w:rPr>
        <w:t xml:space="preserve"> complex, and the entorhinal cortex</w:t>
      </w:r>
      <w:r>
        <w:rPr>
          <w:color w:val="7030A0"/>
        </w:rPr>
        <w:t xml:space="preserve"> comprise the hippocampal formation. </w:t>
      </w:r>
      <w:r w:rsidR="00C43652">
        <w:rPr>
          <w:color w:val="7030A0"/>
        </w:rPr>
        <w:t>METH</w:t>
      </w:r>
      <w:r>
        <w:rPr>
          <w:color w:val="7030A0"/>
        </w:rPr>
        <w:t xml:space="preserve"> neurotoxicity to the Ammons horn (hippocampus proper) has been </w:t>
      </w:r>
      <w:commentRangeStart w:id="48"/>
      <w:r>
        <w:rPr>
          <w:color w:val="7030A0"/>
        </w:rPr>
        <w:t>shown</w:t>
      </w:r>
      <w:commentRangeEnd w:id="48"/>
      <w:r w:rsidR="00C43652">
        <w:rPr>
          <w:rStyle w:val="CommentReference"/>
        </w:rPr>
        <w:commentReference w:id="48"/>
      </w:r>
      <w:r>
        <w:rPr>
          <w:color w:val="7030A0"/>
        </w:rPr>
        <w:t xml:space="preserve">. </w:t>
      </w:r>
    </w:p>
    <w:p w14:paraId="5E4CDE69" w14:textId="69F97B9A" w:rsidR="00136E43" w:rsidRDefault="00136E43" w:rsidP="00136E43">
      <w:pPr>
        <w:jc w:val="both"/>
        <w:rPr>
          <w:color w:val="7030A0"/>
        </w:rPr>
      </w:pPr>
      <w:r>
        <w:rPr>
          <w:color w:val="7030A0"/>
        </w:rPr>
        <w:t>M</w:t>
      </w:r>
      <w:r w:rsidR="00C43652">
        <w:rPr>
          <w:color w:val="7030A0"/>
        </w:rPr>
        <w:t>ETH</w:t>
      </w:r>
      <w:r>
        <w:rPr>
          <w:color w:val="7030A0"/>
        </w:rPr>
        <w:t xml:space="preserve"> neurotoxicity is region specific and affects mainly dopaminergic and serotonergic terminals in rodent and human brain, with dopamine being the major mediator of the toxicity. Apoptosis and/or necrosis in neuronal cell bodies was reported in some brain areas e.g., in the Ammons horn, DG, SGZ and SVZ but not in the </w:t>
      </w:r>
      <w:proofErr w:type="spellStart"/>
      <w:r>
        <w:rPr>
          <w:color w:val="7030A0"/>
        </w:rPr>
        <w:t>NAc</w:t>
      </w:r>
      <w:proofErr w:type="spellEnd"/>
      <w:r>
        <w:rPr>
          <w:color w:val="7030A0"/>
        </w:rPr>
        <w:t xml:space="preserve">. Dopaminergic terminals in the </w:t>
      </w:r>
      <w:proofErr w:type="spellStart"/>
      <w:r>
        <w:rPr>
          <w:color w:val="7030A0"/>
        </w:rPr>
        <w:t>NAc</w:t>
      </w:r>
      <w:proofErr w:type="spellEnd"/>
      <w:r>
        <w:rPr>
          <w:color w:val="7030A0"/>
        </w:rPr>
        <w:t xml:space="preserve"> are also less sensitive to METH than dopaminergic terminals in other brain areas. The molecular determinants of this relative resistance of the </w:t>
      </w:r>
      <w:proofErr w:type="spellStart"/>
      <w:r>
        <w:rPr>
          <w:color w:val="7030A0"/>
        </w:rPr>
        <w:t>NAc</w:t>
      </w:r>
      <w:proofErr w:type="spellEnd"/>
      <w:r>
        <w:rPr>
          <w:color w:val="7030A0"/>
        </w:rPr>
        <w:t xml:space="preserve"> to METH neurotoxicity, despite having high dopaminergic innervation are not known. M</w:t>
      </w:r>
      <w:r w:rsidR="00C43652">
        <w:rPr>
          <w:color w:val="7030A0"/>
        </w:rPr>
        <w:t>ETH</w:t>
      </w:r>
      <w:r>
        <w:rPr>
          <w:color w:val="7030A0"/>
        </w:rPr>
        <w:t xml:space="preserve"> neurotoxicity to 4 brain areas examined in this study can be placed in the following order: Ammons horn &gt; DG &gt; SGZ/SVZ &gt; </w:t>
      </w:r>
      <w:proofErr w:type="spellStart"/>
      <w:r>
        <w:rPr>
          <w:color w:val="7030A0"/>
        </w:rPr>
        <w:t>NAc</w:t>
      </w:r>
      <w:proofErr w:type="spellEnd"/>
      <w:r>
        <w:rPr>
          <w:color w:val="7030A0"/>
        </w:rPr>
        <w:t xml:space="preserve">. Dopaminergic innervation can be presented as </w:t>
      </w:r>
      <w:proofErr w:type="spellStart"/>
      <w:r>
        <w:rPr>
          <w:color w:val="7030A0"/>
        </w:rPr>
        <w:t>NAc</w:t>
      </w:r>
      <w:proofErr w:type="spellEnd"/>
      <w:r>
        <w:rPr>
          <w:color w:val="7030A0"/>
        </w:rPr>
        <w:t xml:space="preserve"> &gt; Ammons horn &gt; DG &gt; SGZ/SVZ. Of note, dopamine regulates cell proliferation in the neurogenic zones. The rationale for our study was to compare responses of these 4 brain areas to Meth in order to identify common and differential response pathways at the genetic and epigenetic level in order to:</w:t>
      </w:r>
    </w:p>
    <w:p w14:paraId="45FD4F64" w14:textId="77777777" w:rsidR="00136E43" w:rsidRDefault="00136E43" w:rsidP="00136E43">
      <w:pPr>
        <w:jc w:val="both"/>
        <w:rPr>
          <w:color w:val="7030A0"/>
        </w:rPr>
      </w:pPr>
      <w:r>
        <w:rPr>
          <w:color w:val="7030A0"/>
        </w:rPr>
        <w:t xml:space="preserve">--compare responses of immature/proliferating vs mature/non-proliferating cells (SGZ/DG/SVZ vs </w:t>
      </w:r>
      <w:proofErr w:type="spellStart"/>
      <w:r>
        <w:rPr>
          <w:color w:val="7030A0"/>
        </w:rPr>
        <w:t>NAc</w:t>
      </w:r>
      <w:proofErr w:type="spellEnd"/>
      <w:r>
        <w:rPr>
          <w:color w:val="7030A0"/>
        </w:rPr>
        <w:t>/Ammons horn),</w:t>
      </w:r>
    </w:p>
    <w:p w14:paraId="21DB82BA" w14:textId="77777777" w:rsidR="00136E43" w:rsidRDefault="00136E43" w:rsidP="00136E43">
      <w:pPr>
        <w:jc w:val="both"/>
        <w:rPr>
          <w:color w:val="7030A0"/>
        </w:rPr>
      </w:pPr>
      <w:r>
        <w:rPr>
          <w:color w:val="7030A0"/>
        </w:rPr>
        <w:t xml:space="preserve">--compare responses of METH neurotoxicity susceptible vs non-susceptible cells (Ammons horn vs </w:t>
      </w:r>
      <w:proofErr w:type="spellStart"/>
      <w:r>
        <w:rPr>
          <w:color w:val="7030A0"/>
        </w:rPr>
        <w:t>NAc</w:t>
      </w:r>
      <w:proofErr w:type="spellEnd"/>
      <w:r>
        <w:rPr>
          <w:color w:val="7030A0"/>
        </w:rPr>
        <w:t>),</w:t>
      </w:r>
    </w:p>
    <w:p w14:paraId="7D32D369" w14:textId="77777777" w:rsidR="00136E43" w:rsidRPr="003D6C4B" w:rsidRDefault="00136E43" w:rsidP="00136E43">
      <w:pPr>
        <w:jc w:val="both"/>
        <w:rPr>
          <w:color w:val="7030A0"/>
        </w:rPr>
      </w:pPr>
      <w:r>
        <w:rPr>
          <w:color w:val="7030A0"/>
        </w:rPr>
        <w:t>--compare responses of dopamine-rich to dopamine-poor areas. In the latter, METH neurotoxicity could be mediated by excitotoxicity.</w:t>
      </w:r>
    </w:p>
    <w:p w14:paraId="1C0ECB7B" w14:textId="7EA0FCF4" w:rsidR="00136E43" w:rsidRDefault="00136E43" w:rsidP="00F53D99">
      <w:pPr>
        <w:jc w:val="both"/>
        <w:rPr>
          <w:rFonts w:ascii="Arial" w:hAnsi="Arial" w:cs="Arial"/>
          <w:sz w:val="22"/>
          <w:szCs w:val="22"/>
        </w:rPr>
      </w:pPr>
    </w:p>
    <w:p w14:paraId="01152397" w14:textId="77777777" w:rsidR="00136E43" w:rsidRPr="00FB3565" w:rsidRDefault="00136E43" w:rsidP="00F53D99">
      <w:pPr>
        <w:jc w:val="both"/>
        <w:rPr>
          <w:rFonts w:ascii="Arial" w:hAnsi="Arial" w:cs="Arial"/>
          <w:sz w:val="22"/>
          <w:szCs w:val="22"/>
        </w:rPr>
      </w:pPr>
    </w:p>
    <w:p w14:paraId="6D9F02B9" w14:textId="53848601" w:rsidR="00FC2303" w:rsidRDefault="00FC2303" w:rsidP="00F53D99">
      <w:pPr>
        <w:jc w:val="both"/>
        <w:rPr>
          <w:rFonts w:ascii="Arial" w:hAnsi="Arial" w:cs="Arial"/>
          <w:sz w:val="22"/>
          <w:szCs w:val="22"/>
        </w:rPr>
      </w:pPr>
      <w:r w:rsidRPr="00FB3565">
        <w:rPr>
          <w:rFonts w:ascii="Arial" w:hAnsi="Arial" w:cs="Arial"/>
          <w:sz w:val="22"/>
          <w:szCs w:val="22"/>
        </w:rPr>
        <w:t xml:space="preserve">3) </w:t>
      </w:r>
      <w:commentRangeStart w:id="49"/>
      <w:r w:rsidRPr="00FB3565">
        <w:rPr>
          <w:rFonts w:ascii="Arial" w:hAnsi="Arial" w:cs="Arial"/>
          <w:sz w:val="22"/>
          <w:szCs w:val="22"/>
        </w:rPr>
        <w:t>Not enough methodological detail is included, particularly at the early steps of the experimental design</w:t>
      </w:r>
      <w:commentRangeEnd w:id="49"/>
      <w:r w:rsidRPr="00FB3565">
        <w:rPr>
          <w:rStyle w:val="CommentReference"/>
          <w:rFonts w:ascii="Arial" w:hAnsi="Arial" w:cs="Arial"/>
          <w:sz w:val="22"/>
          <w:szCs w:val="22"/>
        </w:rPr>
        <w:commentReference w:id="49"/>
      </w:r>
      <w:r w:rsidRPr="00FB3565">
        <w:rPr>
          <w:rFonts w:ascii="Arial" w:hAnsi="Arial" w:cs="Arial"/>
          <w:sz w:val="22"/>
          <w:szCs w:val="22"/>
        </w:rPr>
        <w:t xml:space="preserve">. How were these brain regions isolated? How were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libraries constructed from the tissues? Was RNA isolated first and then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same samples or was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performed on one hemisphere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other? </w:t>
      </w:r>
      <w:r w:rsidRPr="00FB3565">
        <w:rPr>
          <w:rFonts w:ascii="Arial" w:hAnsi="Arial" w:cs="Arial"/>
          <w:sz w:val="22"/>
          <w:szCs w:val="22"/>
        </w:rPr>
        <w:lastRenderedPageBreak/>
        <w:t xml:space="preserve">Very importantly, what was the sequencing depth for both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experiments? What were </w:t>
      </w:r>
      <w:bookmarkStart w:id="50" w:name="OLE_LINK25"/>
      <w:bookmarkStart w:id="51" w:name="OLE_LINK26"/>
      <w:r w:rsidRPr="00FB3565">
        <w:rPr>
          <w:rFonts w:ascii="Arial" w:hAnsi="Arial" w:cs="Arial"/>
          <w:sz w:val="22"/>
          <w:szCs w:val="22"/>
        </w:rPr>
        <w:t xml:space="preserve">the </w:t>
      </w:r>
      <w:bookmarkStart w:id="52" w:name="OLE_LINK27"/>
      <w:bookmarkStart w:id="53" w:name="OLE_LINK28"/>
      <w:r w:rsidRPr="00FB3565">
        <w:rPr>
          <w:rFonts w:ascii="Arial" w:hAnsi="Arial" w:cs="Arial"/>
          <w:sz w:val="22"/>
          <w:szCs w:val="22"/>
        </w:rPr>
        <w:t xml:space="preserve">RIN values for </w:t>
      </w:r>
      <w:bookmarkEnd w:id="50"/>
      <w:bookmarkEnd w:id="51"/>
      <w:r w:rsidRPr="00FB3565">
        <w:rPr>
          <w:rFonts w:ascii="Arial" w:hAnsi="Arial" w:cs="Arial"/>
          <w:sz w:val="22"/>
          <w:szCs w:val="22"/>
        </w:rPr>
        <w:t>the isolated RNA</w:t>
      </w:r>
      <w:bookmarkEnd w:id="52"/>
      <w:bookmarkEnd w:id="53"/>
      <w:r w:rsidRPr="00FB3565">
        <w:rPr>
          <w:rFonts w:ascii="Arial" w:hAnsi="Arial" w:cs="Arial"/>
          <w:sz w:val="22"/>
          <w:szCs w:val="22"/>
        </w:rPr>
        <w:t>? Also, please say clearly if/how DEGs and DARs are corrected for multiple comparisons and justify using very different significance thresholds for DEGs versus DARs.</w:t>
      </w:r>
    </w:p>
    <w:p w14:paraId="1E15A6A3" w14:textId="717AF0BE" w:rsidR="009842E7" w:rsidRDefault="009842E7" w:rsidP="00F53D99">
      <w:pPr>
        <w:jc w:val="both"/>
        <w:rPr>
          <w:rFonts w:ascii="Arial" w:hAnsi="Arial" w:cs="Arial"/>
          <w:sz w:val="22"/>
          <w:szCs w:val="22"/>
        </w:rPr>
      </w:pPr>
    </w:p>
    <w:p w14:paraId="41A3670E" w14:textId="77777777" w:rsidR="00B16CDC" w:rsidRDefault="00956AB6" w:rsidP="00F53D99">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p>
    <w:p w14:paraId="76086C95" w14:textId="787586DD" w:rsidR="00B16CDC" w:rsidRDefault="00956AB6" w:rsidP="00077249">
      <w:pPr>
        <w:pStyle w:val="ListParagraph"/>
        <w:numPr>
          <w:ilvl w:val="0"/>
          <w:numId w:val="4"/>
        </w:numPr>
        <w:jc w:val="both"/>
        <w:rPr>
          <w:rFonts w:ascii="Arial" w:hAnsi="Arial" w:cs="Arial"/>
          <w:color w:val="2E74B5" w:themeColor="accent5" w:themeShade="BF"/>
          <w:sz w:val="22"/>
          <w:szCs w:val="22"/>
        </w:rPr>
      </w:pPr>
      <w:r w:rsidRPr="00077249">
        <w:rPr>
          <w:rFonts w:ascii="Arial" w:hAnsi="Arial" w:cs="Arial"/>
          <w:color w:val="2E74B5" w:themeColor="accent5" w:themeShade="BF"/>
          <w:sz w:val="22"/>
          <w:szCs w:val="22"/>
        </w:rPr>
        <w:t xml:space="preserve">Here is the protocol to isolate the </w:t>
      </w:r>
      <w:proofErr w:type="spellStart"/>
      <w:r w:rsidR="00B16CDC" w:rsidRPr="00077249">
        <w:rPr>
          <w:rFonts w:ascii="Arial" w:hAnsi="Arial" w:cs="Arial"/>
          <w:color w:val="2E74B5" w:themeColor="accent5" w:themeShade="BF"/>
          <w:sz w:val="22"/>
          <w:szCs w:val="22"/>
        </w:rPr>
        <w:t>NAc</w:t>
      </w:r>
      <w:proofErr w:type="spellEnd"/>
      <w:r w:rsidR="00B16CDC" w:rsidRPr="00077249">
        <w:rPr>
          <w:rFonts w:ascii="Arial" w:hAnsi="Arial" w:cs="Arial"/>
          <w:color w:val="2E74B5" w:themeColor="accent5" w:themeShade="BF"/>
          <w:sz w:val="22"/>
          <w:szCs w:val="22"/>
        </w:rPr>
        <w:t>, DG, CA and SVZ regions.</w:t>
      </w:r>
    </w:p>
    <w:p w14:paraId="4FC3D58E" w14:textId="717D1AA2" w:rsidR="00077249" w:rsidRPr="00077249" w:rsidRDefault="00077249" w:rsidP="00077249">
      <w:pPr>
        <w:pStyle w:val="ListParagraph"/>
        <w:jc w:val="both"/>
        <w:rPr>
          <w:rFonts w:ascii="Arial" w:hAnsi="Arial" w:cs="Arial"/>
          <w:color w:val="2E74B5" w:themeColor="accent5" w:themeShade="BF"/>
          <w:sz w:val="22"/>
          <w:szCs w:val="22"/>
        </w:rPr>
      </w:pPr>
      <w:r>
        <w:rPr>
          <w:rFonts w:ascii="Arial" w:hAnsi="Arial" w:cs="Arial"/>
          <w:color w:val="2E74B5" w:themeColor="accent5" w:themeShade="BF"/>
          <w:sz w:val="22"/>
          <w:szCs w:val="22"/>
        </w:rPr>
        <w:t>(1)</w:t>
      </w:r>
      <w:r w:rsidRPr="00077249">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Remove </w:t>
      </w:r>
      <w:r w:rsidRPr="00B16CDC">
        <w:rPr>
          <w:rFonts w:ascii="Arial" w:hAnsi="Arial" w:cs="Arial"/>
          <w:color w:val="2E74B5" w:themeColor="accent5" w:themeShade="BF"/>
          <w:sz w:val="22"/>
          <w:szCs w:val="22"/>
        </w:rPr>
        <w:t>the rat brain as per lab protocol</w:t>
      </w:r>
      <w:r>
        <w:rPr>
          <w:rFonts w:ascii="Arial" w:hAnsi="Arial" w:cs="Arial"/>
          <w:color w:val="2E74B5" w:themeColor="accent5" w:themeShade="BF"/>
          <w:sz w:val="22"/>
          <w:szCs w:val="22"/>
        </w:rPr>
        <w:t xml:space="preserve"> and p</w:t>
      </w:r>
      <w:r w:rsidRPr="00B16CDC">
        <w:rPr>
          <w:rFonts w:ascii="Arial" w:hAnsi="Arial" w:cs="Arial"/>
          <w:color w:val="2E74B5" w:themeColor="accent5" w:themeShade="BF"/>
          <w:sz w:val="22"/>
          <w:szCs w:val="22"/>
        </w:rPr>
        <w:t xml:space="preserve">lace it in the rat brain metal dye that is already pre-chilled on crushed ice. </w:t>
      </w:r>
    </w:p>
    <w:p w14:paraId="7217B067" w14:textId="1A0F0385" w:rsidR="00077249" w:rsidRPr="00077249" w:rsidRDefault="00077249" w:rsidP="00077249">
      <w:pPr>
        <w:pStyle w:val="ListParagraph"/>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(2) Make </w:t>
      </w:r>
      <w:r w:rsidRPr="00B16CDC">
        <w:rPr>
          <w:rFonts w:ascii="Arial" w:hAnsi="Arial" w:cs="Arial"/>
          <w:color w:val="2E74B5" w:themeColor="accent5" w:themeShade="BF"/>
          <w:sz w:val="22"/>
          <w:szCs w:val="22"/>
        </w:rPr>
        <w:t>a coronal section between -2mm to -3mm AP using special brain dissection blades that are made for the metal dye</w:t>
      </w:r>
      <w:r>
        <w:rPr>
          <w:rFonts w:ascii="Arial" w:hAnsi="Arial" w:cs="Arial"/>
          <w:color w:val="2E74B5" w:themeColor="accent5" w:themeShade="BF"/>
          <w:sz w:val="22"/>
          <w:szCs w:val="22"/>
        </w:rPr>
        <w:t xml:space="preserve">, which creates </w:t>
      </w:r>
      <w:r w:rsidRPr="00B16CDC">
        <w:rPr>
          <w:rFonts w:ascii="Arial" w:hAnsi="Arial" w:cs="Arial"/>
          <w:color w:val="2E74B5" w:themeColor="accent5" w:themeShade="BF"/>
          <w:sz w:val="22"/>
          <w:szCs w:val="22"/>
        </w:rPr>
        <w:t>a division of the brain into two main sections</w:t>
      </w:r>
      <w:r>
        <w:rPr>
          <w:rFonts w:ascii="Arial" w:hAnsi="Arial" w:cs="Arial"/>
          <w:color w:val="2E74B5" w:themeColor="accent5" w:themeShade="BF"/>
          <w:sz w:val="22"/>
          <w:szCs w:val="22"/>
        </w:rPr>
        <w:t>:</w:t>
      </w:r>
      <w:r w:rsidRPr="00B16CDC">
        <w:rPr>
          <w:rFonts w:ascii="Arial" w:hAnsi="Arial" w:cs="Arial"/>
          <w:color w:val="2E74B5" w:themeColor="accent5" w:themeShade="BF"/>
          <w:sz w:val="22"/>
          <w:szCs w:val="22"/>
        </w:rPr>
        <w:t xml:space="preserve"> an anterior section and a posterior section</w:t>
      </w:r>
      <w:r>
        <w:rPr>
          <w:rFonts w:ascii="Arial" w:hAnsi="Arial" w:cs="Arial"/>
          <w:color w:val="2E74B5" w:themeColor="accent5" w:themeShade="BF"/>
          <w:sz w:val="22"/>
          <w:szCs w:val="22"/>
        </w:rPr>
        <w:t>.</w:t>
      </w:r>
    </w:p>
    <w:p w14:paraId="42228341" w14:textId="6DF9AE4A" w:rsidR="00077249" w:rsidRDefault="00077249" w:rsidP="00077249">
      <w:pPr>
        <w:pStyle w:val="ListParagraph"/>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(3)  </w:t>
      </w:r>
      <w:r w:rsidRPr="00B16CDC">
        <w:rPr>
          <w:rFonts w:ascii="Arial" w:hAnsi="Arial" w:cs="Arial"/>
          <w:color w:val="2E74B5" w:themeColor="accent5" w:themeShade="BF"/>
          <w:sz w:val="22"/>
          <w:szCs w:val="22"/>
        </w:rPr>
        <w:t xml:space="preserve">The anterior section contains the </w:t>
      </w:r>
      <w:proofErr w:type="spellStart"/>
      <w:r>
        <w:rPr>
          <w:rFonts w:ascii="Arial" w:hAnsi="Arial" w:cs="Arial"/>
          <w:color w:val="2E74B5" w:themeColor="accent5" w:themeShade="BF"/>
          <w:sz w:val="22"/>
          <w:szCs w:val="22"/>
        </w:rPr>
        <w:t>NAc</w:t>
      </w:r>
      <w:proofErr w:type="spellEnd"/>
      <w:r w:rsidRPr="00B16CDC">
        <w:rPr>
          <w:rFonts w:ascii="Arial" w:hAnsi="Arial" w:cs="Arial"/>
          <w:color w:val="2E74B5" w:themeColor="accent5" w:themeShade="BF"/>
          <w:sz w:val="22"/>
          <w:szCs w:val="22"/>
        </w:rPr>
        <w:t xml:space="preserve"> and SVZ. Without removing the previous blade, slice the anterior section into 2mm thick brain slices, placing blades in every alternate slot moving the first blade towards the anterior of the brain. Remove the slices that contain </w:t>
      </w:r>
      <w:proofErr w:type="spellStart"/>
      <w:r>
        <w:rPr>
          <w:rFonts w:ascii="Arial" w:hAnsi="Arial" w:cs="Arial"/>
          <w:color w:val="2E74B5" w:themeColor="accent5" w:themeShade="BF"/>
          <w:sz w:val="22"/>
          <w:szCs w:val="22"/>
        </w:rPr>
        <w:t>NAc</w:t>
      </w:r>
      <w:proofErr w:type="spellEnd"/>
      <w:r w:rsidRPr="00B16CDC">
        <w:rPr>
          <w:rFonts w:ascii="Arial" w:hAnsi="Arial" w:cs="Arial"/>
          <w:color w:val="2E74B5" w:themeColor="accent5" w:themeShade="BF"/>
          <w:sz w:val="22"/>
          <w:szCs w:val="22"/>
        </w:rPr>
        <w:t xml:space="preserve"> and freeze </w:t>
      </w:r>
      <w:r>
        <w:rPr>
          <w:rFonts w:ascii="Arial" w:hAnsi="Arial" w:cs="Arial"/>
          <w:color w:val="2E74B5" w:themeColor="accent5" w:themeShade="BF"/>
          <w:sz w:val="22"/>
          <w:szCs w:val="22"/>
        </w:rPr>
        <w:t>it</w:t>
      </w:r>
      <w:r w:rsidRPr="00B16CDC">
        <w:rPr>
          <w:rFonts w:ascii="Arial" w:hAnsi="Arial" w:cs="Arial"/>
          <w:color w:val="2E74B5" w:themeColor="accent5" w:themeShade="BF"/>
          <w:sz w:val="22"/>
          <w:szCs w:val="22"/>
        </w:rPr>
        <w:t xml:space="preserve"> on top of the dry ice sandwich which silver foil as exterior most surface that will come in contact with brain slices</w:t>
      </w:r>
      <w:r>
        <w:rPr>
          <w:rFonts w:ascii="Arial" w:hAnsi="Arial" w:cs="Arial"/>
          <w:color w:val="2E74B5" w:themeColor="accent5" w:themeShade="BF"/>
          <w:sz w:val="22"/>
          <w:szCs w:val="22"/>
        </w:rPr>
        <w:t xml:space="preserve"> </w:t>
      </w:r>
      <w:r w:rsidRPr="00B16CDC">
        <w:rPr>
          <w:rFonts w:ascii="Arial" w:hAnsi="Arial" w:cs="Arial"/>
          <w:color w:val="2E74B5" w:themeColor="accent5" w:themeShade="BF"/>
          <w:sz w:val="22"/>
          <w:szCs w:val="22"/>
        </w:rPr>
        <w:t>(silver foil, glass, dry ice, glass, silver foil</w:t>
      </w:r>
      <w:r>
        <w:rPr>
          <w:rFonts w:ascii="Arial" w:hAnsi="Arial" w:cs="Arial"/>
          <w:color w:val="2E74B5" w:themeColor="accent5" w:themeShade="BF"/>
          <w:sz w:val="22"/>
          <w:szCs w:val="22"/>
        </w:rPr>
        <w:t>) and then</w:t>
      </w:r>
      <w:r w:rsidRPr="00B16CDC">
        <w:rPr>
          <w:rFonts w:ascii="Arial" w:hAnsi="Arial" w:cs="Arial"/>
          <w:color w:val="2E74B5" w:themeColor="accent5" w:themeShade="BF"/>
          <w:sz w:val="22"/>
          <w:szCs w:val="22"/>
        </w:rPr>
        <w:t xml:space="preserve"> punch out </w:t>
      </w:r>
      <w:proofErr w:type="spellStart"/>
      <w:r w:rsidRPr="00B16CDC">
        <w:rPr>
          <w:rFonts w:ascii="Arial" w:hAnsi="Arial" w:cs="Arial"/>
          <w:color w:val="2E74B5" w:themeColor="accent5" w:themeShade="BF"/>
          <w:sz w:val="22"/>
          <w:szCs w:val="22"/>
        </w:rPr>
        <w:t>NA</w:t>
      </w:r>
      <w:r>
        <w:rPr>
          <w:rFonts w:ascii="Arial" w:hAnsi="Arial" w:cs="Arial"/>
          <w:color w:val="2E74B5" w:themeColor="accent5" w:themeShade="BF"/>
          <w:sz w:val="22"/>
          <w:szCs w:val="22"/>
        </w:rPr>
        <w:t>c</w:t>
      </w:r>
      <w:proofErr w:type="spellEnd"/>
      <w:r>
        <w:rPr>
          <w:rFonts w:ascii="Arial" w:hAnsi="Arial" w:cs="Arial"/>
          <w:color w:val="2E74B5" w:themeColor="accent5" w:themeShade="BF"/>
          <w:sz w:val="22"/>
          <w:szCs w:val="22"/>
        </w:rPr>
        <w:t>.</w:t>
      </w:r>
    </w:p>
    <w:p w14:paraId="6F0FF9DD" w14:textId="787D5BC8" w:rsidR="00077249" w:rsidRDefault="00077249" w:rsidP="00077249">
      <w:pPr>
        <w:pStyle w:val="ListParagraph"/>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(4) Take </w:t>
      </w:r>
      <w:r w:rsidRPr="00B16CDC">
        <w:rPr>
          <w:rFonts w:ascii="Arial" w:hAnsi="Arial" w:cs="Arial"/>
          <w:color w:val="2E74B5" w:themeColor="accent5" w:themeShade="BF"/>
          <w:sz w:val="22"/>
          <w:szCs w:val="22"/>
        </w:rPr>
        <w:t xml:space="preserve">out the intact posterior part of the brain with both its hemispheres. Place it on an inverted glass beaker that is prechilled with crushed ice to start micro-dissection of </w:t>
      </w:r>
      <w:r>
        <w:rPr>
          <w:rFonts w:ascii="Arial" w:hAnsi="Arial" w:cs="Arial"/>
          <w:color w:val="2E74B5" w:themeColor="accent5" w:themeShade="BF"/>
          <w:sz w:val="22"/>
          <w:szCs w:val="22"/>
        </w:rPr>
        <w:t>DG and CA</w:t>
      </w:r>
      <w:r w:rsidRPr="00B16CDC">
        <w:rPr>
          <w:rFonts w:ascii="Arial" w:hAnsi="Arial" w:cs="Arial"/>
          <w:color w:val="2E74B5" w:themeColor="accent5" w:themeShade="BF"/>
          <w:sz w:val="22"/>
          <w:szCs w:val="22"/>
        </w:rPr>
        <w:t xml:space="preserve"> from posterior part of the brain</w:t>
      </w:r>
      <w:r>
        <w:rPr>
          <w:rFonts w:ascii="Arial" w:hAnsi="Arial" w:cs="Arial"/>
          <w:color w:val="2E74B5" w:themeColor="accent5" w:themeShade="BF"/>
          <w:sz w:val="22"/>
          <w:szCs w:val="22"/>
        </w:rPr>
        <w:t xml:space="preserve"> and then divide the posterior brain into </w:t>
      </w:r>
      <w:r w:rsidRPr="00B16CDC">
        <w:rPr>
          <w:rFonts w:ascii="Arial" w:hAnsi="Arial" w:cs="Arial"/>
          <w:color w:val="2E74B5" w:themeColor="accent5" w:themeShade="BF"/>
          <w:sz w:val="22"/>
          <w:szCs w:val="22"/>
        </w:rPr>
        <w:t>posterior hemispheres</w:t>
      </w:r>
      <w:r>
        <w:rPr>
          <w:rFonts w:ascii="Arial" w:hAnsi="Arial" w:cs="Arial"/>
          <w:color w:val="2E74B5" w:themeColor="accent5" w:themeShade="BF"/>
          <w:sz w:val="22"/>
          <w:szCs w:val="22"/>
        </w:rPr>
        <w:t>.</w:t>
      </w:r>
    </w:p>
    <w:p w14:paraId="748D9F3D" w14:textId="25997740" w:rsidR="00077249" w:rsidRDefault="00077249" w:rsidP="00077249">
      <w:pPr>
        <w:pStyle w:val="ListParagraph"/>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(5) Remove </w:t>
      </w:r>
      <w:r w:rsidRPr="00B16CDC">
        <w:rPr>
          <w:rFonts w:ascii="Arial" w:hAnsi="Arial" w:cs="Arial"/>
          <w:color w:val="2E74B5" w:themeColor="accent5" w:themeShade="BF"/>
          <w:sz w:val="22"/>
          <w:szCs w:val="22"/>
        </w:rPr>
        <w:t>the top neocortex/corpus callosum layer using fine dissection tools from medial to lateral side as shown in sagittal section on each posterior hemisphere</w:t>
      </w:r>
      <w:r>
        <w:rPr>
          <w:rFonts w:ascii="Arial" w:hAnsi="Arial" w:cs="Arial"/>
          <w:color w:val="2E74B5" w:themeColor="accent5" w:themeShade="BF"/>
          <w:sz w:val="22"/>
          <w:szCs w:val="22"/>
        </w:rPr>
        <w:t xml:space="preserve"> </w:t>
      </w:r>
      <w:r>
        <w:rPr>
          <w:rFonts w:ascii="Arial" w:hAnsi="Arial" w:cs="Arial" w:hint="eastAsia"/>
          <w:color w:val="2E74B5" w:themeColor="accent5" w:themeShade="BF"/>
          <w:sz w:val="22"/>
          <w:szCs w:val="22"/>
        </w:rPr>
        <w:t>a</w:t>
      </w:r>
      <w:r>
        <w:rPr>
          <w:rFonts w:ascii="Arial" w:hAnsi="Arial" w:cs="Arial"/>
          <w:color w:val="2E74B5" w:themeColor="accent5" w:themeShade="BF"/>
          <w:sz w:val="22"/>
          <w:szCs w:val="22"/>
        </w:rPr>
        <w:t>nd scoop out DG and CA</w:t>
      </w:r>
      <w:r w:rsidRPr="00B16CDC">
        <w:rPr>
          <w:rFonts w:ascii="Arial" w:hAnsi="Arial" w:cs="Arial"/>
          <w:color w:val="2E74B5" w:themeColor="accent5" w:themeShade="BF"/>
          <w:sz w:val="22"/>
          <w:szCs w:val="22"/>
        </w:rPr>
        <w:t>.</w:t>
      </w:r>
    </w:p>
    <w:p w14:paraId="067BDC47" w14:textId="261116FC" w:rsidR="008F163F" w:rsidRPr="00077249" w:rsidRDefault="00077249" w:rsidP="00077249">
      <w:pPr>
        <w:pStyle w:val="ListParagraph"/>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(6) Dry </w:t>
      </w:r>
      <w:r w:rsidRPr="008F163F">
        <w:rPr>
          <w:rFonts w:ascii="Arial" w:hAnsi="Arial" w:cs="Arial"/>
          <w:color w:val="2E74B5" w:themeColor="accent5" w:themeShade="BF"/>
          <w:sz w:val="22"/>
          <w:szCs w:val="22"/>
        </w:rPr>
        <w:t>freeze these scooped out sections</w:t>
      </w:r>
      <w:r>
        <w:rPr>
          <w:rFonts w:ascii="Arial" w:hAnsi="Arial" w:cs="Arial"/>
          <w:color w:val="2E74B5" w:themeColor="accent5" w:themeShade="BF"/>
          <w:sz w:val="22"/>
          <w:szCs w:val="22"/>
        </w:rPr>
        <w:t>.</w:t>
      </w:r>
    </w:p>
    <w:p w14:paraId="2F5C6E32" w14:textId="40916D71" w:rsidR="008F163F" w:rsidRDefault="008F163F" w:rsidP="008F163F">
      <w:pPr>
        <w:pStyle w:val="ListParagraph"/>
        <w:jc w:val="center"/>
        <w:rPr>
          <w:rFonts w:ascii="Arial" w:hAnsi="Arial" w:cs="Arial"/>
          <w:color w:val="2E74B5" w:themeColor="accent5" w:themeShade="BF"/>
          <w:sz w:val="22"/>
          <w:szCs w:val="22"/>
        </w:rPr>
      </w:pPr>
      <w:r w:rsidRPr="00C80591">
        <w:rPr>
          <w:noProof/>
        </w:rPr>
        <w:drawing>
          <wp:inline distT="0" distB="0" distL="0" distR="0" wp14:anchorId="65F5B954" wp14:editId="1ECDAC38">
            <wp:extent cx="3800820" cy="261550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7"/>
                    <a:stretch>
                      <a:fillRect/>
                    </a:stretch>
                  </pic:blipFill>
                  <pic:spPr>
                    <a:xfrm>
                      <a:off x="0" y="0"/>
                      <a:ext cx="3833893" cy="2638259"/>
                    </a:xfrm>
                    <a:prstGeom prst="rect">
                      <a:avLst/>
                    </a:prstGeom>
                  </pic:spPr>
                </pic:pic>
              </a:graphicData>
            </a:graphic>
          </wp:inline>
        </w:drawing>
      </w:r>
    </w:p>
    <w:p w14:paraId="04ECEB09" w14:textId="6F8BD157" w:rsidR="008F163F" w:rsidRDefault="008F163F" w:rsidP="00D30C10">
      <w:pPr>
        <w:pStyle w:val="ListParagraph"/>
        <w:numPr>
          <w:ilvl w:val="0"/>
          <w:numId w:val="4"/>
        </w:numPr>
        <w:jc w:val="both"/>
        <w:rPr>
          <w:rFonts w:ascii="Arial" w:hAnsi="Arial" w:cs="Arial"/>
          <w:color w:val="2E74B5" w:themeColor="accent5" w:themeShade="BF"/>
          <w:sz w:val="22"/>
          <w:szCs w:val="22"/>
        </w:rPr>
      </w:pPr>
      <w:r w:rsidRPr="00D30C10">
        <w:rPr>
          <w:rFonts w:ascii="Arial" w:hAnsi="Arial" w:cs="Arial"/>
          <w:color w:val="2E74B5" w:themeColor="accent5" w:themeShade="BF"/>
          <w:sz w:val="22"/>
          <w:szCs w:val="22"/>
        </w:rPr>
        <w:t>In the method of manuscript, we described the details about how to construct the RNA-seq and ATAC-seq libraries from the tissues.</w:t>
      </w:r>
    </w:p>
    <w:p w14:paraId="3468C03A" w14:textId="77777777" w:rsidR="00D30C10" w:rsidRPr="00D30C10" w:rsidRDefault="00D30C10" w:rsidP="00D30C10">
      <w:pPr>
        <w:pStyle w:val="ListParagraph"/>
        <w:numPr>
          <w:ilvl w:val="0"/>
          <w:numId w:val="4"/>
        </w:numPr>
        <w:jc w:val="both"/>
        <w:rPr>
          <w:rFonts w:ascii="Arial" w:hAnsi="Arial" w:cs="Arial"/>
          <w:color w:val="2E74B5" w:themeColor="accent5" w:themeShade="BF"/>
          <w:sz w:val="22"/>
          <w:szCs w:val="22"/>
        </w:rPr>
      </w:pPr>
      <w:r w:rsidRPr="00D30C10">
        <w:rPr>
          <w:rFonts w:ascii="Arial" w:hAnsi="Arial" w:cs="Arial"/>
          <w:color w:val="2E74B5" w:themeColor="accent5" w:themeShade="BF"/>
          <w:sz w:val="22"/>
          <w:szCs w:val="22"/>
        </w:rPr>
        <w:t>We collected the two hemispheres of same rat brain and one hemisphere used to perform RNA-seq and another one used for ATAC-seq.</w:t>
      </w:r>
    </w:p>
    <w:p w14:paraId="6843C19D" w14:textId="4BD06F34" w:rsidR="00D30C10" w:rsidRPr="00D30C10" w:rsidRDefault="00D30C10" w:rsidP="00D30C10">
      <w:pPr>
        <w:pStyle w:val="ListParagraph"/>
        <w:numPr>
          <w:ilvl w:val="0"/>
          <w:numId w:val="4"/>
        </w:num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For sequence depth, there were </w:t>
      </w:r>
      <w:r w:rsidRPr="00D30C10">
        <w:rPr>
          <w:rFonts w:ascii="Arial" w:hAnsi="Arial" w:cs="Arial"/>
          <w:color w:val="2E74B5" w:themeColor="accent5" w:themeShade="BF"/>
          <w:sz w:val="22"/>
          <w:szCs w:val="22"/>
        </w:rPr>
        <w:t>about 35 million total reads per samples of RNA-seq and about 30 million total reads per samples of ATAC-seq generated in our study (supplementary file).</w:t>
      </w:r>
    </w:p>
    <w:p w14:paraId="0E606968" w14:textId="77777777" w:rsidR="00D30C10" w:rsidRPr="00D30C10" w:rsidRDefault="00D30C10" w:rsidP="00D30C10">
      <w:pPr>
        <w:pStyle w:val="ListParagraph"/>
        <w:numPr>
          <w:ilvl w:val="0"/>
          <w:numId w:val="4"/>
        </w:numPr>
        <w:jc w:val="both"/>
        <w:rPr>
          <w:rFonts w:ascii="Arial" w:hAnsi="Arial" w:cs="Arial"/>
          <w:color w:val="FF0000"/>
          <w:sz w:val="22"/>
          <w:szCs w:val="22"/>
        </w:rPr>
      </w:pPr>
      <w:r w:rsidRPr="00D30C10">
        <w:rPr>
          <w:rFonts w:ascii="Arial" w:hAnsi="Arial" w:cs="Arial"/>
          <w:color w:val="FF0000"/>
          <w:sz w:val="22"/>
          <w:szCs w:val="22"/>
        </w:rPr>
        <w:t>RIN values for the isolated RNA</w:t>
      </w:r>
    </w:p>
    <w:p w14:paraId="61EAD8AF" w14:textId="7E2B3FBD" w:rsidR="00D30C10" w:rsidRDefault="00D30C10" w:rsidP="00D30C10">
      <w:pPr>
        <w:pStyle w:val="ListParagraph"/>
        <w:numPr>
          <w:ilvl w:val="0"/>
          <w:numId w:val="4"/>
        </w:numPr>
        <w:jc w:val="both"/>
        <w:rPr>
          <w:rFonts w:ascii="Arial" w:hAnsi="Arial" w:cs="Arial"/>
          <w:color w:val="2E74B5" w:themeColor="accent5" w:themeShade="BF"/>
          <w:sz w:val="22"/>
          <w:szCs w:val="22"/>
        </w:rPr>
      </w:pPr>
      <w:r>
        <w:rPr>
          <w:rFonts w:ascii="Arial" w:hAnsi="Arial" w:cs="Arial"/>
          <w:color w:val="2E74B5" w:themeColor="accent5" w:themeShade="BF"/>
          <w:sz w:val="22"/>
          <w:szCs w:val="22"/>
        </w:rPr>
        <w:lastRenderedPageBreak/>
        <w:t xml:space="preserve">For the analysis of </w:t>
      </w:r>
      <w:r w:rsidRPr="00D30C10">
        <w:rPr>
          <w:rFonts w:ascii="Arial" w:hAnsi="Arial" w:cs="Arial"/>
          <w:color w:val="2E74B5" w:themeColor="accent5" w:themeShade="BF"/>
          <w:sz w:val="22"/>
          <w:szCs w:val="22"/>
        </w:rPr>
        <w:t>differential expression genes (DEGs) and differential accessible regions (DARs)</w:t>
      </w:r>
      <w:r>
        <w:rPr>
          <w:rFonts w:ascii="Arial" w:hAnsi="Arial" w:cs="Arial"/>
          <w:color w:val="2E74B5" w:themeColor="accent5" w:themeShade="BF"/>
          <w:sz w:val="22"/>
          <w:szCs w:val="22"/>
        </w:rPr>
        <w:t xml:space="preserve">, </w:t>
      </w:r>
      <w:proofErr w:type="spellStart"/>
      <w:r w:rsidRPr="00D30C10">
        <w:rPr>
          <w:rFonts w:ascii="Arial" w:hAnsi="Arial" w:cs="Arial"/>
          <w:color w:val="2E74B5" w:themeColor="accent5" w:themeShade="BF"/>
          <w:sz w:val="22"/>
          <w:szCs w:val="22"/>
        </w:rPr>
        <w:t>EdgeR</w:t>
      </w:r>
      <w:proofErr w:type="spellEnd"/>
      <w:r w:rsidRPr="00D30C10">
        <w:rPr>
          <w:rFonts w:ascii="Arial" w:hAnsi="Arial" w:cs="Arial"/>
          <w:color w:val="2E74B5" w:themeColor="accent5" w:themeShade="BF"/>
          <w:sz w:val="22"/>
          <w:szCs w:val="22"/>
        </w:rPr>
        <w:t xml:space="preserve"> method </w:t>
      </w:r>
      <w:r>
        <w:rPr>
          <w:rFonts w:ascii="Arial" w:hAnsi="Arial" w:cs="Arial"/>
          <w:color w:val="2E74B5" w:themeColor="accent5" w:themeShade="BF"/>
          <w:sz w:val="22"/>
          <w:szCs w:val="22"/>
        </w:rPr>
        <w:t>was used through</w:t>
      </w:r>
      <w:r w:rsidRPr="00D30C10">
        <w:rPr>
          <w:rFonts w:ascii="Arial" w:hAnsi="Arial" w:cs="Arial"/>
          <w:color w:val="2E74B5" w:themeColor="accent5" w:themeShade="BF"/>
          <w:sz w:val="22"/>
          <w:szCs w:val="22"/>
        </w:rPr>
        <w:t xml:space="preserve"> comparison between Meth-overdose and saline samples in </w:t>
      </w:r>
      <w:proofErr w:type="spellStart"/>
      <w:r w:rsidRPr="00D30C10">
        <w:rPr>
          <w:rFonts w:ascii="Arial" w:hAnsi="Arial" w:cs="Arial"/>
          <w:color w:val="2E74B5" w:themeColor="accent5" w:themeShade="BF"/>
          <w:sz w:val="22"/>
          <w:szCs w:val="22"/>
        </w:rPr>
        <w:t>NAc</w:t>
      </w:r>
      <w:proofErr w:type="spellEnd"/>
      <w:r w:rsidRPr="00D30C10">
        <w:rPr>
          <w:rFonts w:ascii="Arial" w:hAnsi="Arial" w:cs="Arial"/>
          <w:color w:val="2E74B5" w:themeColor="accent5" w:themeShade="BF"/>
          <w:sz w:val="22"/>
          <w:szCs w:val="22"/>
        </w:rPr>
        <w:t>, DG, CA and SVZ regions.</w:t>
      </w:r>
      <w:r>
        <w:rPr>
          <w:rFonts w:ascii="Arial" w:hAnsi="Arial" w:cs="Arial"/>
          <w:color w:val="2E74B5" w:themeColor="accent5" w:themeShade="BF"/>
          <w:sz w:val="22"/>
          <w:szCs w:val="22"/>
        </w:rPr>
        <w:t xml:space="preserve"> T</w:t>
      </w:r>
      <w:r w:rsidRPr="00D30C10">
        <w:rPr>
          <w:rFonts w:ascii="Arial" w:hAnsi="Arial" w:cs="Arial"/>
          <w:color w:val="2E74B5" w:themeColor="accent5" w:themeShade="BF"/>
          <w:sz w:val="22"/>
          <w:szCs w:val="22"/>
        </w:rPr>
        <w:t xml:space="preserve">he false discovery rate (FDR) </w:t>
      </w:r>
      <w:r>
        <w:rPr>
          <w:rFonts w:ascii="Arial" w:hAnsi="Arial" w:cs="Arial"/>
          <w:color w:val="2E74B5" w:themeColor="accent5" w:themeShade="BF"/>
          <w:sz w:val="22"/>
          <w:szCs w:val="22"/>
        </w:rPr>
        <w:t>was used to adjust the multiple comparison.</w:t>
      </w:r>
    </w:p>
    <w:p w14:paraId="5C3936FC" w14:textId="76BD5181" w:rsidR="00D30C10" w:rsidRDefault="00D30C10" w:rsidP="00D30C10">
      <w:pPr>
        <w:pStyle w:val="ListParagraph"/>
        <w:jc w:val="both"/>
        <w:rPr>
          <w:rFonts w:ascii="Arial" w:hAnsi="Arial" w:cs="Arial"/>
          <w:color w:val="2E74B5" w:themeColor="accent5" w:themeShade="BF"/>
          <w:sz w:val="22"/>
          <w:szCs w:val="22"/>
        </w:rPr>
      </w:pPr>
    </w:p>
    <w:p w14:paraId="2B81A77C" w14:textId="2409BD62" w:rsidR="00D30C10" w:rsidRDefault="00D30C10" w:rsidP="00D30C10">
      <w:pPr>
        <w:pStyle w:val="ListParagraph"/>
        <w:jc w:val="both"/>
        <w:rPr>
          <w:rFonts w:ascii="Arial" w:hAnsi="Arial" w:cs="Arial"/>
          <w:color w:val="2E74B5" w:themeColor="accent5" w:themeShade="BF"/>
          <w:sz w:val="22"/>
          <w:szCs w:val="22"/>
        </w:rPr>
      </w:pPr>
      <w:r w:rsidRPr="00D30C10">
        <w:rPr>
          <w:rFonts w:ascii="Arial" w:hAnsi="Arial" w:cs="Arial"/>
          <w:color w:val="2E74B5" w:themeColor="accent5" w:themeShade="BF"/>
          <w:sz w:val="22"/>
          <w:szCs w:val="22"/>
        </w:rPr>
        <w:t xml:space="preserve">Here, we used different significance thresholds </w:t>
      </w:r>
      <w:r>
        <w:rPr>
          <w:rFonts w:ascii="Arial" w:hAnsi="Arial" w:cs="Arial"/>
          <w:color w:val="2E74B5" w:themeColor="accent5" w:themeShade="BF"/>
          <w:sz w:val="22"/>
          <w:szCs w:val="22"/>
        </w:rPr>
        <w:t xml:space="preserve">to identify </w:t>
      </w:r>
      <w:r w:rsidRPr="00D30C10">
        <w:rPr>
          <w:rFonts w:ascii="Arial" w:hAnsi="Arial" w:cs="Arial"/>
          <w:color w:val="2E74B5" w:themeColor="accent5" w:themeShade="BF"/>
          <w:sz w:val="22"/>
          <w:szCs w:val="22"/>
        </w:rPr>
        <w:t xml:space="preserve">DEGs and DARs. </w:t>
      </w:r>
      <w:bookmarkStart w:id="54" w:name="OLE_LINK47"/>
      <w:bookmarkStart w:id="55" w:name="OLE_LINK48"/>
      <w:r w:rsidRPr="00D30C10">
        <w:rPr>
          <w:rFonts w:ascii="Arial" w:hAnsi="Arial" w:cs="Arial"/>
          <w:color w:val="2E74B5" w:themeColor="accent5" w:themeShade="BF"/>
          <w:sz w:val="22"/>
          <w:szCs w:val="22"/>
        </w:rPr>
        <w:t>Our previous study showed the signal distribution of ATAC-seq data was distinct from that of RNA-seq data</w:t>
      </w:r>
      <w:r w:rsidR="00EC5374">
        <w:rPr>
          <w:rFonts w:ascii="Arial" w:hAnsi="Arial" w:cs="Arial"/>
          <w:color w:val="2E74B5" w:themeColor="accent5" w:themeShade="BF"/>
          <w:sz w:val="22"/>
          <w:szCs w:val="22"/>
        </w:rPr>
        <w:t xml:space="preserve"> (ref)</w:t>
      </w:r>
      <w:r w:rsidRPr="00D30C10">
        <w:rPr>
          <w:rFonts w:ascii="Arial" w:hAnsi="Arial" w:cs="Arial"/>
          <w:color w:val="2E74B5" w:themeColor="accent5" w:themeShade="BF"/>
          <w:sz w:val="22"/>
          <w:szCs w:val="22"/>
        </w:rPr>
        <w:t xml:space="preserve">. The open chromatin regions (OCRs) had low ATAC signals comparing to the expression distribution of genes (A and B). Meanwhile, the total input numbers of features for differential analysis were different between DEG and DAR analysis. The total OCRs used for differential analysis were about seventy thousand, five times larger than the total number of expressed genes used for DEG analysis that was about fourteen thousand. </w:t>
      </w:r>
      <w:r w:rsidR="0094434F" w:rsidRPr="00D30C10">
        <w:rPr>
          <w:rFonts w:ascii="Arial" w:hAnsi="Arial" w:cs="Arial"/>
          <w:color w:val="2E74B5" w:themeColor="accent5" w:themeShade="BF"/>
          <w:sz w:val="22"/>
          <w:szCs w:val="22"/>
        </w:rPr>
        <w:t>So,</w:t>
      </w:r>
      <w:r w:rsidRPr="00D30C10">
        <w:rPr>
          <w:rFonts w:ascii="Arial" w:hAnsi="Arial" w:cs="Arial"/>
          <w:color w:val="2E74B5" w:themeColor="accent5" w:themeShade="BF"/>
          <w:sz w:val="22"/>
          <w:szCs w:val="22"/>
        </w:rPr>
        <w:t xml:space="preserve"> in our analysis, we lowered down the foldchange to identify more DARs with low ATAC-seq signals and used more stringent FDR to avoid the false positive results.</w:t>
      </w:r>
      <w:bookmarkEnd w:id="54"/>
      <w:bookmarkEnd w:id="55"/>
    </w:p>
    <w:p w14:paraId="24B30C14" w14:textId="03E32CF1" w:rsidR="00EC5374" w:rsidRDefault="00EC5374" w:rsidP="00D30C10">
      <w:pPr>
        <w:pStyle w:val="ListParagraph"/>
        <w:jc w:val="both"/>
        <w:rPr>
          <w:rFonts w:ascii="Arial" w:hAnsi="Arial" w:cs="Arial"/>
          <w:color w:val="2E74B5" w:themeColor="accent5" w:themeShade="BF"/>
          <w:sz w:val="22"/>
          <w:szCs w:val="22"/>
        </w:rPr>
      </w:pPr>
    </w:p>
    <w:p w14:paraId="08386CD2" w14:textId="2B8F3D2E" w:rsidR="00FC2303" w:rsidRDefault="00EC5374" w:rsidP="00EC5374">
      <w:pPr>
        <w:pStyle w:val="ListParagraph"/>
        <w:jc w:val="center"/>
        <w:rPr>
          <w:rFonts w:ascii="Arial" w:hAnsi="Arial" w:cs="Arial"/>
          <w:color w:val="2E74B5" w:themeColor="accent5" w:themeShade="BF"/>
          <w:sz w:val="22"/>
          <w:szCs w:val="22"/>
        </w:rPr>
      </w:pPr>
      <w:r w:rsidRPr="00EC5374">
        <w:rPr>
          <w:rFonts w:ascii="Arial" w:hAnsi="Arial" w:cs="Arial"/>
          <w:noProof/>
          <w:color w:val="2E74B5" w:themeColor="accent5" w:themeShade="BF"/>
          <w:sz w:val="22"/>
          <w:szCs w:val="22"/>
        </w:rPr>
        <w:drawing>
          <wp:inline distT="0" distB="0" distL="0" distR="0" wp14:anchorId="70931A70" wp14:editId="0AEE13C5">
            <wp:extent cx="3591499" cy="1141684"/>
            <wp:effectExtent l="0" t="0" r="3175" b="1905"/>
            <wp:docPr id="9" name="Picture 1">
              <a:extLst xmlns:a="http://schemas.openxmlformats.org/drawingml/2006/main">
                <a:ext uri="{FF2B5EF4-FFF2-40B4-BE49-F238E27FC236}">
                  <a16:creationId xmlns:a16="http://schemas.microsoft.com/office/drawing/2014/main" id="{444FFFE2-D753-274F-8B0B-7C78FDCEDC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44FFFE2-D753-274F-8B0B-7C78FDCEDCFE}"/>
                        </a:ext>
                      </a:extLst>
                    </pic:cNvPr>
                    <pic:cNvPicPr>
                      <a:picLocks noChangeAspect="1"/>
                    </pic:cNvPicPr>
                  </pic:nvPicPr>
                  <pic:blipFill>
                    <a:blip r:embed="rId18"/>
                    <a:stretch>
                      <a:fillRect/>
                    </a:stretch>
                  </pic:blipFill>
                  <pic:spPr>
                    <a:xfrm>
                      <a:off x="0" y="0"/>
                      <a:ext cx="3621270" cy="1151148"/>
                    </a:xfrm>
                    <a:prstGeom prst="rect">
                      <a:avLst/>
                    </a:prstGeom>
                  </pic:spPr>
                </pic:pic>
              </a:graphicData>
            </a:graphic>
          </wp:inline>
        </w:drawing>
      </w:r>
    </w:p>
    <w:p w14:paraId="312AC682" w14:textId="77777777" w:rsidR="00EC5374" w:rsidRPr="00EC5374" w:rsidRDefault="00EC5374" w:rsidP="00EC5374">
      <w:pPr>
        <w:pStyle w:val="ListParagraph"/>
        <w:jc w:val="center"/>
        <w:rPr>
          <w:rFonts w:ascii="Arial" w:hAnsi="Arial" w:cs="Arial"/>
          <w:color w:val="2E74B5" w:themeColor="accent5" w:themeShade="BF"/>
          <w:sz w:val="22"/>
          <w:szCs w:val="22"/>
        </w:rPr>
      </w:pPr>
    </w:p>
    <w:p w14:paraId="77B36045"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 xml:space="preserve">4) Reference 45 was cited as a study that performed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following METH exposure, but it appears to be a review article that covers the epigenetics of methamphetamine use. I couldn’t find any mention of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either, though I may have missed it. I would encourage the authors to </w:t>
      </w:r>
      <w:commentRangeStart w:id="56"/>
      <w:r w:rsidRPr="00FB3565">
        <w:rPr>
          <w:rFonts w:ascii="Arial" w:hAnsi="Arial" w:cs="Arial"/>
          <w:sz w:val="22"/>
          <w:szCs w:val="22"/>
        </w:rPr>
        <w:t xml:space="preserve">reference primary literature throughout this article, but this reference in particular is important to be replaced with primary literature since it is critical for the authors to establish how their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studies may differ from earlier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w:t>
      </w:r>
      <w:commentRangeStart w:id="57"/>
      <w:r w:rsidRPr="00FB3565">
        <w:rPr>
          <w:rFonts w:ascii="Arial" w:hAnsi="Arial" w:cs="Arial"/>
          <w:sz w:val="22"/>
          <w:szCs w:val="22"/>
        </w:rPr>
        <w:t>studies</w:t>
      </w:r>
      <w:commentRangeEnd w:id="57"/>
      <w:r w:rsidR="00DF067F">
        <w:rPr>
          <w:rStyle w:val="CommentReference"/>
        </w:rPr>
        <w:commentReference w:id="57"/>
      </w:r>
      <w:r w:rsidRPr="00FB3565">
        <w:rPr>
          <w:rFonts w:ascii="Arial" w:hAnsi="Arial" w:cs="Arial"/>
          <w:sz w:val="22"/>
          <w:szCs w:val="22"/>
        </w:rPr>
        <w:t>.</w:t>
      </w:r>
      <w:commentRangeEnd w:id="56"/>
      <w:r w:rsidRPr="00FB3565">
        <w:rPr>
          <w:rStyle w:val="CommentReference"/>
          <w:rFonts w:ascii="Arial" w:hAnsi="Arial" w:cs="Arial"/>
          <w:sz w:val="22"/>
          <w:szCs w:val="22"/>
        </w:rPr>
        <w:commentReference w:id="56"/>
      </w:r>
    </w:p>
    <w:p w14:paraId="378128CF" w14:textId="510E36ED" w:rsidR="00FC2303" w:rsidRDefault="00FC2303" w:rsidP="00F53D99">
      <w:pPr>
        <w:jc w:val="both"/>
        <w:rPr>
          <w:rFonts w:ascii="Arial" w:hAnsi="Arial" w:cs="Arial"/>
          <w:sz w:val="22"/>
          <w:szCs w:val="22"/>
        </w:rPr>
      </w:pPr>
    </w:p>
    <w:p w14:paraId="295E09CD" w14:textId="17AABFF0" w:rsidR="00EC5374" w:rsidRDefault="00EC5374" w:rsidP="00F53D99">
      <w:pPr>
        <w:jc w:val="both"/>
        <w:rPr>
          <w:rFonts w:ascii="Arial" w:hAnsi="Arial" w:cs="Arial"/>
          <w:sz w:val="22"/>
          <w:szCs w:val="22"/>
        </w:rPr>
      </w:pPr>
    </w:p>
    <w:p w14:paraId="0C921216" w14:textId="77777777" w:rsidR="00EC5374" w:rsidRPr="00FB3565" w:rsidRDefault="00EC5374" w:rsidP="00F53D99">
      <w:pPr>
        <w:jc w:val="both"/>
        <w:rPr>
          <w:rFonts w:ascii="Arial" w:hAnsi="Arial" w:cs="Arial"/>
          <w:sz w:val="22"/>
          <w:szCs w:val="22"/>
        </w:rPr>
      </w:pPr>
    </w:p>
    <w:p w14:paraId="2636D293" w14:textId="530BED04" w:rsidR="009519EB" w:rsidRDefault="00FC2303" w:rsidP="00F53D99">
      <w:pPr>
        <w:jc w:val="both"/>
        <w:rPr>
          <w:rFonts w:ascii="Arial" w:hAnsi="Arial" w:cs="Arial"/>
          <w:sz w:val="22"/>
          <w:szCs w:val="22"/>
        </w:rPr>
      </w:pPr>
      <w:r w:rsidRPr="00FB3565">
        <w:rPr>
          <w:rFonts w:ascii="Arial" w:hAnsi="Arial" w:cs="Arial"/>
          <w:sz w:val="22"/>
          <w:szCs w:val="22"/>
        </w:rPr>
        <w:t xml:space="preserve">5) </w:t>
      </w:r>
      <w:commentRangeStart w:id="58"/>
      <w:r w:rsidRPr="00FB3565">
        <w:rPr>
          <w:rFonts w:ascii="Arial" w:hAnsi="Arial" w:cs="Arial"/>
          <w:sz w:val="22"/>
          <w:szCs w:val="22"/>
        </w:rPr>
        <w:t xml:space="preserve">As it stands in this manuscript,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studies are interpreted and discussed almost entirely independently</w:t>
      </w:r>
      <w:commentRangeEnd w:id="58"/>
      <w:r w:rsidR="00561DC3" w:rsidRPr="00FB3565">
        <w:rPr>
          <w:rStyle w:val="CommentReference"/>
          <w:rFonts w:ascii="Arial" w:hAnsi="Arial" w:cs="Arial"/>
          <w:sz w:val="22"/>
          <w:szCs w:val="22"/>
        </w:rPr>
        <w:commentReference w:id="58"/>
      </w:r>
      <w:r w:rsidRPr="00FB3565">
        <w:rPr>
          <w:rFonts w:ascii="Arial" w:hAnsi="Arial" w:cs="Arial"/>
          <w:sz w:val="22"/>
          <w:szCs w:val="22"/>
        </w:rPr>
        <w:t xml:space="preserve">. A unique advantage of this work is the simultaneous analysis of the transcriptomic and epigenetic data. It is, therefore, important that the authors unify the interpretation of these data to a greater degree. Do gene sites of dynamic chromatin accessibility correspond to DEGs by brain region? Are implicated transcription factors and </w:t>
      </w:r>
      <w:proofErr w:type="spellStart"/>
      <w:r w:rsidRPr="00FB3565">
        <w:rPr>
          <w:rFonts w:ascii="Arial" w:hAnsi="Arial" w:cs="Arial"/>
          <w:sz w:val="22"/>
          <w:szCs w:val="22"/>
        </w:rPr>
        <w:t>epigenes</w:t>
      </w:r>
      <w:proofErr w:type="spellEnd"/>
      <w:r w:rsidRPr="00FB3565">
        <w:rPr>
          <w:rFonts w:ascii="Arial" w:hAnsi="Arial" w:cs="Arial"/>
          <w:sz w:val="22"/>
          <w:szCs w:val="22"/>
        </w:rPr>
        <w:t xml:space="preserve"> identified as upstream regulators in one dataset directly affected in the other dataset? Are the </w:t>
      </w:r>
      <w:proofErr w:type="spellStart"/>
      <w:r w:rsidRPr="00FB3565">
        <w:rPr>
          <w:rFonts w:ascii="Arial" w:hAnsi="Arial" w:cs="Arial"/>
          <w:sz w:val="22"/>
          <w:szCs w:val="22"/>
        </w:rPr>
        <w:t>infered</w:t>
      </w:r>
      <w:proofErr w:type="spellEnd"/>
      <w:r w:rsidRPr="00FB3565">
        <w:rPr>
          <w:rFonts w:ascii="Arial" w:hAnsi="Arial" w:cs="Arial"/>
          <w:sz w:val="22"/>
          <w:szCs w:val="22"/>
        </w:rPr>
        <w:t xml:space="preserve"> affected cell populations consistently implicated in both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by brain region? Overall, in what major ways are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in agreement? More importantly, in what ways are the data not in agreement?</w:t>
      </w:r>
    </w:p>
    <w:p w14:paraId="0B9099C8" w14:textId="456853A4" w:rsidR="00BA6E90" w:rsidRDefault="00BA6E90" w:rsidP="00F53D99">
      <w:pPr>
        <w:jc w:val="both"/>
        <w:rPr>
          <w:rFonts w:ascii="Arial" w:hAnsi="Arial" w:cs="Arial"/>
          <w:sz w:val="22"/>
          <w:szCs w:val="22"/>
        </w:rPr>
      </w:pPr>
    </w:p>
    <w:p w14:paraId="4E5D8714" w14:textId="774CD3DF" w:rsidR="00BA6E90" w:rsidRPr="00BD5DFC" w:rsidRDefault="00BE1440" w:rsidP="00BE1440">
      <w:pPr>
        <w:pStyle w:val="ListParagraph"/>
        <w:numPr>
          <w:ilvl w:val="0"/>
          <w:numId w:val="6"/>
        </w:numPr>
        <w:jc w:val="both"/>
        <w:rPr>
          <w:rFonts w:ascii="Arial" w:hAnsi="Arial" w:cs="Arial"/>
          <w:color w:val="2E74B5" w:themeColor="accent5" w:themeShade="BF"/>
          <w:sz w:val="22"/>
          <w:szCs w:val="22"/>
        </w:rPr>
      </w:pPr>
      <w:r w:rsidRPr="00BD5DFC">
        <w:rPr>
          <w:rFonts w:ascii="Arial" w:hAnsi="Arial" w:cs="Arial"/>
          <w:color w:val="2E74B5" w:themeColor="accent5" w:themeShade="BF"/>
          <w:sz w:val="22"/>
          <w:szCs w:val="22"/>
        </w:rPr>
        <w:t>Meth induced very complicated and controversial system</w:t>
      </w:r>
    </w:p>
    <w:p w14:paraId="6680D3DE" w14:textId="56ADB9F6" w:rsidR="00BE1440" w:rsidRPr="00BD5DFC" w:rsidRDefault="00BE1440" w:rsidP="00BE1440">
      <w:pPr>
        <w:pStyle w:val="ListParagraph"/>
        <w:numPr>
          <w:ilvl w:val="0"/>
          <w:numId w:val="6"/>
        </w:numPr>
        <w:jc w:val="both"/>
        <w:rPr>
          <w:rFonts w:ascii="Arial" w:hAnsi="Arial" w:cs="Arial"/>
          <w:color w:val="2E74B5" w:themeColor="accent5" w:themeShade="BF"/>
          <w:sz w:val="22"/>
          <w:szCs w:val="22"/>
        </w:rPr>
      </w:pPr>
      <w:r w:rsidRPr="00BD5DFC">
        <w:rPr>
          <w:rFonts w:ascii="Arial" w:hAnsi="Arial" w:cs="Arial" w:hint="eastAsia"/>
          <w:color w:val="2E74B5" w:themeColor="accent5" w:themeShade="BF"/>
          <w:sz w:val="22"/>
          <w:szCs w:val="22"/>
        </w:rPr>
        <w:t>TF</w:t>
      </w:r>
      <w:r w:rsidRPr="00BD5DFC">
        <w:rPr>
          <w:rFonts w:ascii="Arial" w:hAnsi="Arial" w:cs="Arial"/>
          <w:color w:val="2E74B5" w:themeColor="accent5" w:themeShade="BF"/>
          <w:sz w:val="22"/>
          <w:szCs w:val="22"/>
        </w:rPr>
        <w:t xml:space="preserve"> gene binds with same motif show different regulation pattern in the same region</w:t>
      </w:r>
    </w:p>
    <w:p w14:paraId="16563DC9" w14:textId="77777777" w:rsidR="00BE1440" w:rsidRPr="00BD5DFC" w:rsidRDefault="00BE1440" w:rsidP="00BE1440">
      <w:pPr>
        <w:pStyle w:val="ListParagraph"/>
        <w:numPr>
          <w:ilvl w:val="0"/>
          <w:numId w:val="6"/>
        </w:numPr>
        <w:jc w:val="both"/>
        <w:rPr>
          <w:rFonts w:ascii="Arial" w:hAnsi="Arial" w:cs="Arial"/>
          <w:color w:val="2E74B5" w:themeColor="accent5" w:themeShade="BF"/>
          <w:sz w:val="22"/>
          <w:szCs w:val="22"/>
        </w:rPr>
      </w:pPr>
      <w:r w:rsidRPr="00BD5DFC">
        <w:rPr>
          <w:rFonts w:ascii="Arial" w:hAnsi="Arial" w:cs="Arial"/>
          <w:color w:val="2E74B5" w:themeColor="accent5" w:themeShade="BF"/>
          <w:sz w:val="22"/>
          <w:szCs w:val="22"/>
        </w:rPr>
        <w:t>TF gene can repress the gene expression? But need more open regions</w:t>
      </w:r>
    </w:p>
    <w:p w14:paraId="61C3F412" w14:textId="6D2AC8C8" w:rsidR="00BE1440" w:rsidRPr="00BD5DFC" w:rsidRDefault="00BE1440" w:rsidP="00BE1440">
      <w:pPr>
        <w:pStyle w:val="ListParagraph"/>
        <w:numPr>
          <w:ilvl w:val="0"/>
          <w:numId w:val="6"/>
        </w:numPr>
        <w:jc w:val="both"/>
        <w:rPr>
          <w:rFonts w:ascii="Arial" w:hAnsi="Arial" w:cs="Arial"/>
          <w:color w:val="2E74B5" w:themeColor="accent5" w:themeShade="BF"/>
          <w:sz w:val="22"/>
          <w:szCs w:val="22"/>
        </w:rPr>
      </w:pPr>
      <w:r w:rsidRPr="00BD5DFC">
        <w:rPr>
          <w:rFonts w:ascii="Arial" w:hAnsi="Arial" w:cs="Arial"/>
          <w:color w:val="2E74B5" w:themeColor="accent5" w:themeShade="BF"/>
          <w:sz w:val="22"/>
          <w:szCs w:val="22"/>
        </w:rPr>
        <w:t>Epigenetic modification gene, the repress and active marker gene show same regulation pattern</w:t>
      </w:r>
    </w:p>
    <w:p w14:paraId="671579B2" w14:textId="77777777" w:rsidR="00BE1440" w:rsidRPr="00BD5DFC" w:rsidRDefault="00BE1440" w:rsidP="00BE1440">
      <w:pPr>
        <w:pStyle w:val="ListParagraph"/>
        <w:numPr>
          <w:ilvl w:val="0"/>
          <w:numId w:val="6"/>
        </w:numPr>
        <w:jc w:val="both"/>
        <w:rPr>
          <w:rFonts w:ascii="Arial" w:hAnsi="Arial" w:cs="Arial"/>
          <w:color w:val="2E74B5" w:themeColor="accent5" w:themeShade="BF"/>
          <w:sz w:val="22"/>
          <w:szCs w:val="22"/>
        </w:rPr>
      </w:pPr>
      <w:r w:rsidRPr="00BD5DFC">
        <w:rPr>
          <w:rFonts w:ascii="Arial" w:hAnsi="Arial" w:cs="Arial"/>
          <w:color w:val="2E74B5" w:themeColor="accent5" w:themeShade="BF"/>
          <w:sz w:val="22"/>
          <w:szCs w:val="22"/>
        </w:rPr>
        <w:t>normal samples without METH exposure, compare the region difference, the ATAC-seq and RNA-seq show a relative high correlation.</w:t>
      </w:r>
    </w:p>
    <w:p w14:paraId="1D658FC7" w14:textId="77777777" w:rsidR="00BE1440" w:rsidRPr="00BE1440" w:rsidRDefault="00BE1440" w:rsidP="00BD5DFC">
      <w:pPr>
        <w:pStyle w:val="ListParagraph"/>
        <w:jc w:val="both"/>
        <w:rPr>
          <w:rFonts w:ascii="Arial" w:hAnsi="Arial" w:cs="Arial"/>
          <w:sz w:val="22"/>
          <w:szCs w:val="22"/>
        </w:rPr>
      </w:pPr>
    </w:p>
    <w:p w14:paraId="4B5C8548" w14:textId="37720315" w:rsidR="009519EB" w:rsidRPr="00FB3565" w:rsidRDefault="009519EB" w:rsidP="004B2B73">
      <w:pPr>
        <w:rPr>
          <w:rFonts w:ascii="Arial" w:hAnsi="Arial" w:cs="Arial"/>
          <w:sz w:val="22"/>
          <w:szCs w:val="22"/>
        </w:rPr>
      </w:pPr>
    </w:p>
    <w:p w14:paraId="6037B6BD" w14:textId="0F8250F8" w:rsidR="00E15AF4" w:rsidRPr="00FB3565" w:rsidRDefault="00E15AF4" w:rsidP="00F53D99">
      <w:pPr>
        <w:jc w:val="both"/>
        <w:rPr>
          <w:rFonts w:ascii="Arial" w:hAnsi="Arial" w:cs="Arial"/>
          <w:sz w:val="22"/>
          <w:szCs w:val="22"/>
        </w:rPr>
      </w:pPr>
      <w:r w:rsidRPr="00FB3565">
        <w:rPr>
          <w:rFonts w:ascii="Arial" w:hAnsi="Arial" w:cs="Arial"/>
          <w:sz w:val="22"/>
          <w:szCs w:val="22"/>
        </w:rPr>
        <w:lastRenderedPageBreak/>
        <w:t>Minor:</w:t>
      </w:r>
    </w:p>
    <w:p w14:paraId="546A5DC1" w14:textId="77777777" w:rsidR="00E15AF4" w:rsidRPr="00FB3565" w:rsidRDefault="00E15AF4" w:rsidP="00F53D99">
      <w:pPr>
        <w:jc w:val="both"/>
        <w:rPr>
          <w:rFonts w:ascii="Arial" w:hAnsi="Arial" w:cs="Arial"/>
          <w:sz w:val="22"/>
          <w:szCs w:val="22"/>
        </w:rPr>
      </w:pPr>
      <w:r w:rsidRPr="00FB3565">
        <w:rPr>
          <w:rFonts w:ascii="Arial" w:hAnsi="Arial" w:cs="Arial"/>
          <w:sz w:val="22"/>
          <w:szCs w:val="22"/>
        </w:rPr>
        <w:t xml:space="preserve">1) I disagree with the author’s use of the word </w:t>
      </w:r>
      <w:commentRangeStart w:id="59"/>
      <w:r w:rsidRPr="00FB3565">
        <w:rPr>
          <w:rFonts w:ascii="Arial" w:hAnsi="Arial" w:cs="Arial"/>
          <w:sz w:val="22"/>
          <w:szCs w:val="22"/>
        </w:rPr>
        <w:t>“overdose”</w:t>
      </w:r>
      <w:commentRangeEnd w:id="59"/>
      <w:r w:rsidRPr="00FB3565">
        <w:rPr>
          <w:rStyle w:val="CommentReference"/>
          <w:rFonts w:ascii="Arial" w:hAnsi="Arial" w:cs="Arial"/>
          <w:sz w:val="22"/>
          <w:szCs w:val="22"/>
        </w:rPr>
        <w:commentReference w:id="59"/>
      </w:r>
      <w:r w:rsidRPr="00FB3565">
        <w:rPr>
          <w:rFonts w:ascii="Arial" w:hAnsi="Arial" w:cs="Arial"/>
          <w:sz w:val="22"/>
          <w:szCs w:val="22"/>
        </w:rPr>
        <w:t>. Four 10mg/kg injections spread over eight hours is not a particularly extreme dosing schedule. The rats are quite literally not over-dosed. Also, I suggest changing this wording to not invoke thoughts of human accidental overuse of drug, which is the more common interpretation of the word.</w:t>
      </w:r>
    </w:p>
    <w:p w14:paraId="0F9BA0F0" w14:textId="7513F58F" w:rsidR="00E15AF4" w:rsidRDefault="00E15AF4" w:rsidP="00F53D99">
      <w:pPr>
        <w:jc w:val="both"/>
        <w:rPr>
          <w:rFonts w:ascii="Arial" w:hAnsi="Arial" w:cs="Arial"/>
          <w:sz w:val="22"/>
          <w:szCs w:val="22"/>
        </w:rPr>
      </w:pPr>
    </w:p>
    <w:p w14:paraId="4AE0EAA0" w14:textId="77777777" w:rsidR="00287671" w:rsidRDefault="00BA6E90" w:rsidP="00F53D99">
      <w:pPr>
        <w:jc w:val="both"/>
        <w:rPr>
          <w:rFonts w:ascii="Arial" w:hAnsi="Arial" w:cs="Arial"/>
          <w:color w:val="2E74B5" w:themeColor="accent5" w:themeShade="BF"/>
          <w:sz w:val="22"/>
          <w:szCs w:val="22"/>
        </w:rPr>
      </w:pPr>
      <w:bookmarkStart w:id="60" w:name="OLE_LINK33"/>
      <w:bookmarkStart w:id="61" w:name="OLE_LINK34"/>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287671">
        <w:rPr>
          <w:rFonts w:ascii="Arial" w:hAnsi="Arial" w:cs="Arial"/>
          <w:color w:val="2E74B5" w:themeColor="accent5" w:themeShade="BF"/>
          <w:sz w:val="22"/>
          <w:szCs w:val="22"/>
        </w:rPr>
        <w:t xml:space="preserve"> </w:t>
      </w:r>
    </w:p>
    <w:bookmarkEnd w:id="60"/>
    <w:bookmarkEnd w:id="61"/>
    <w:p w14:paraId="33F7EB36" w14:textId="42AF3473" w:rsidR="00BA6E90" w:rsidRPr="00287671" w:rsidRDefault="00287671" w:rsidP="00F53D99">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From AM: To avoid the misunderstanding, we changed the phrase “METH overdose” to “METH binge”. In this study, f</w:t>
      </w:r>
      <w:r w:rsidRPr="00287671">
        <w:rPr>
          <w:rFonts w:ascii="Arial" w:hAnsi="Arial" w:cs="Arial"/>
          <w:color w:val="2E74B5" w:themeColor="accent5" w:themeShade="BF"/>
          <w:sz w:val="22"/>
          <w:szCs w:val="22"/>
        </w:rPr>
        <w:t xml:space="preserve">our 10mg/kg METH doses administered every 2h is an extreme dosing schedule. It is well-established model of METH neurotoxicity to the brain (e.g., Jayanthi S, </w:t>
      </w:r>
      <w:proofErr w:type="spellStart"/>
      <w:r w:rsidRPr="00287671">
        <w:rPr>
          <w:rFonts w:ascii="Arial" w:hAnsi="Arial" w:cs="Arial"/>
          <w:color w:val="2E74B5" w:themeColor="accent5" w:themeShade="BF"/>
          <w:sz w:val="22"/>
          <w:szCs w:val="22"/>
        </w:rPr>
        <w:t>Daiwile</w:t>
      </w:r>
      <w:proofErr w:type="spellEnd"/>
      <w:r w:rsidRPr="00287671">
        <w:rPr>
          <w:rFonts w:ascii="Arial" w:hAnsi="Arial" w:cs="Arial"/>
          <w:color w:val="2E74B5" w:themeColor="accent5" w:themeShade="BF"/>
          <w:sz w:val="22"/>
          <w:szCs w:val="22"/>
        </w:rPr>
        <w:t xml:space="preserve"> AP, Cadet JL. Exp Neurol. 2021 Oct;344:113795 (review); </w:t>
      </w:r>
      <w:proofErr w:type="spellStart"/>
      <w:r w:rsidRPr="00287671">
        <w:rPr>
          <w:rFonts w:ascii="Arial" w:hAnsi="Arial" w:cs="Arial"/>
          <w:color w:val="2E74B5" w:themeColor="accent5" w:themeShade="BF"/>
          <w:sz w:val="22"/>
          <w:szCs w:val="22"/>
        </w:rPr>
        <w:t>Moszczynska</w:t>
      </w:r>
      <w:proofErr w:type="spellEnd"/>
      <w:r w:rsidRPr="00287671">
        <w:rPr>
          <w:rFonts w:ascii="Arial" w:hAnsi="Arial" w:cs="Arial"/>
          <w:color w:val="2E74B5" w:themeColor="accent5" w:themeShade="BF"/>
          <w:sz w:val="22"/>
          <w:szCs w:val="22"/>
        </w:rPr>
        <w:t xml:space="preserve"> A, Callan </w:t>
      </w:r>
      <w:proofErr w:type="gramStart"/>
      <w:r w:rsidRPr="00287671">
        <w:rPr>
          <w:rFonts w:ascii="Arial" w:hAnsi="Arial" w:cs="Arial"/>
          <w:color w:val="2E74B5" w:themeColor="accent5" w:themeShade="BF"/>
          <w:sz w:val="22"/>
          <w:szCs w:val="22"/>
        </w:rPr>
        <w:t>SP.J</w:t>
      </w:r>
      <w:proofErr w:type="gramEnd"/>
      <w:r w:rsidRPr="00287671">
        <w:rPr>
          <w:rFonts w:ascii="Arial" w:hAnsi="Arial" w:cs="Arial"/>
          <w:color w:val="2E74B5" w:themeColor="accent5" w:themeShade="BF"/>
          <w:sz w:val="22"/>
          <w:szCs w:val="22"/>
        </w:rPr>
        <w:t xml:space="preserve"> </w:t>
      </w:r>
      <w:proofErr w:type="spellStart"/>
      <w:r w:rsidRPr="00287671">
        <w:rPr>
          <w:rFonts w:ascii="Arial" w:hAnsi="Arial" w:cs="Arial"/>
          <w:color w:val="2E74B5" w:themeColor="accent5" w:themeShade="BF"/>
          <w:sz w:val="22"/>
          <w:szCs w:val="22"/>
        </w:rPr>
        <w:t>Pharmacol</w:t>
      </w:r>
      <w:proofErr w:type="spellEnd"/>
      <w:r w:rsidRPr="00287671">
        <w:rPr>
          <w:rFonts w:ascii="Arial" w:hAnsi="Arial" w:cs="Arial"/>
          <w:color w:val="2E74B5" w:themeColor="accent5" w:themeShade="BF"/>
          <w:sz w:val="22"/>
          <w:szCs w:val="22"/>
        </w:rPr>
        <w:t xml:space="preserve"> </w:t>
      </w:r>
      <w:proofErr w:type="spellStart"/>
      <w:r w:rsidRPr="00287671">
        <w:rPr>
          <w:rFonts w:ascii="Arial" w:hAnsi="Arial" w:cs="Arial"/>
          <w:color w:val="2E74B5" w:themeColor="accent5" w:themeShade="BF"/>
          <w:sz w:val="22"/>
          <w:szCs w:val="22"/>
        </w:rPr>
        <w:t>Exp</w:t>
      </w:r>
      <w:proofErr w:type="spellEnd"/>
      <w:r w:rsidRPr="00287671">
        <w:rPr>
          <w:rFonts w:ascii="Arial" w:hAnsi="Arial" w:cs="Arial"/>
          <w:color w:val="2E74B5" w:themeColor="accent5" w:themeShade="BF"/>
          <w:sz w:val="22"/>
          <w:szCs w:val="22"/>
        </w:rPr>
        <w:t xml:space="preserve"> </w:t>
      </w:r>
      <w:proofErr w:type="spellStart"/>
      <w:r w:rsidRPr="00287671">
        <w:rPr>
          <w:rFonts w:ascii="Arial" w:hAnsi="Arial" w:cs="Arial"/>
          <w:color w:val="2E74B5" w:themeColor="accent5" w:themeShade="BF"/>
          <w:sz w:val="22"/>
          <w:szCs w:val="22"/>
        </w:rPr>
        <w:t>Ther</w:t>
      </w:r>
      <w:proofErr w:type="spellEnd"/>
      <w:r w:rsidRPr="00287671">
        <w:rPr>
          <w:rFonts w:ascii="Arial" w:hAnsi="Arial" w:cs="Arial"/>
          <w:color w:val="2E74B5" w:themeColor="accent5" w:themeShade="BF"/>
          <w:sz w:val="22"/>
          <w:szCs w:val="22"/>
        </w:rPr>
        <w:t xml:space="preserve">. 2017 Sep;362(3):474-488 (review)). Like humans, rats exposed to this METH regiment develop severe hyperthermia (&gt;39C) and seizures (e.g., Bowyer JF, Tranter KM, Robinson BL, </w:t>
      </w:r>
      <w:proofErr w:type="spellStart"/>
      <w:r w:rsidRPr="00287671">
        <w:rPr>
          <w:rFonts w:ascii="Arial" w:hAnsi="Arial" w:cs="Arial"/>
          <w:color w:val="2E74B5" w:themeColor="accent5" w:themeShade="BF"/>
          <w:sz w:val="22"/>
          <w:szCs w:val="22"/>
        </w:rPr>
        <w:t>Hanig</w:t>
      </w:r>
      <w:proofErr w:type="spellEnd"/>
      <w:r w:rsidRPr="00287671">
        <w:rPr>
          <w:rFonts w:ascii="Arial" w:hAnsi="Arial" w:cs="Arial"/>
          <w:color w:val="2E74B5" w:themeColor="accent5" w:themeShade="BF"/>
          <w:sz w:val="22"/>
          <w:szCs w:val="22"/>
        </w:rPr>
        <w:t xml:space="preserve"> JP, </w:t>
      </w:r>
      <w:proofErr w:type="spellStart"/>
      <w:r w:rsidRPr="00287671">
        <w:rPr>
          <w:rFonts w:ascii="Arial" w:hAnsi="Arial" w:cs="Arial"/>
          <w:color w:val="2E74B5" w:themeColor="accent5" w:themeShade="BF"/>
          <w:sz w:val="22"/>
          <w:szCs w:val="22"/>
        </w:rPr>
        <w:t>Faubion</w:t>
      </w:r>
      <w:proofErr w:type="spellEnd"/>
      <w:r w:rsidRPr="00287671">
        <w:rPr>
          <w:rFonts w:ascii="Arial" w:hAnsi="Arial" w:cs="Arial"/>
          <w:color w:val="2E74B5" w:themeColor="accent5" w:themeShade="BF"/>
          <w:sz w:val="22"/>
          <w:szCs w:val="22"/>
        </w:rPr>
        <w:t xml:space="preserve"> MG, Sarkar S. Neurotoxicology. 2018, 69:130-140.), and die from METH-associated cardiovascular and other complications such as hyperthermia.</w:t>
      </w:r>
    </w:p>
    <w:p w14:paraId="39C2FD60" w14:textId="77777777" w:rsidR="00BA6E90" w:rsidRPr="00FB3565" w:rsidRDefault="00BA6E90" w:rsidP="00F53D99">
      <w:pPr>
        <w:jc w:val="both"/>
        <w:rPr>
          <w:rFonts w:ascii="Arial" w:hAnsi="Arial" w:cs="Arial"/>
          <w:sz w:val="22"/>
          <w:szCs w:val="22"/>
        </w:rPr>
      </w:pPr>
    </w:p>
    <w:p w14:paraId="2BED13FF" w14:textId="2A032B7B" w:rsidR="009519EB" w:rsidRDefault="00E15AF4" w:rsidP="00F53D99">
      <w:pPr>
        <w:jc w:val="both"/>
        <w:rPr>
          <w:rFonts w:ascii="Arial" w:hAnsi="Arial" w:cs="Arial"/>
          <w:sz w:val="22"/>
          <w:szCs w:val="22"/>
        </w:rPr>
      </w:pPr>
      <w:r w:rsidRPr="00FB3565">
        <w:rPr>
          <w:rFonts w:ascii="Arial" w:hAnsi="Arial" w:cs="Arial"/>
          <w:sz w:val="22"/>
          <w:szCs w:val="22"/>
        </w:rPr>
        <w:t xml:space="preserve">2) On line 132, what does “closer to each other” mean? Does that refer to </w:t>
      </w:r>
      <w:commentRangeStart w:id="62"/>
      <w:r w:rsidRPr="00FB3565">
        <w:rPr>
          <w:rFonts w:ascii="Arial" w:hAnsi="Arial" w:cs="Arial"/>
          <w:sz w:val="22"/>
          <w:szCs w:val="22"/>
        </w:rPr>
        <w:t xml:space="preserve">in PCA space </w:t>
      </w:r>
      <w:commentRangeEnd w:id="62"/>
      <w:r w:rsidRPr="00FB3565">
        <w:rPr>
          <w:rStyle w:val="CommentReference"/>
          <w:rFonts w:ascii="Arial" w:hAnsi="Arial" w:cs="Arial"/>
          <w:sz w:val="22"/>
          <w:szCs w:val="22"/>
        </w:rPr>
        <w:commentReference w:id="62"/>
      </w:r>
      <w:r w:rsidRPr="00FB3565">
        <w:rPr>
          <w:rFonts w:ascii="Arial" w:hAnsi="Arial" w:cs="Arial"/>
          <w:sz w:val="22"/>
          <w:szCs w:val="22"/>
        </w:rPr>
        <w:t>or in the brain itself?</w:t>
      </w:r>
    </w:p>
    <w:p w14:paraId="56A7DA1C" w14:textId="567BF891" w:rsidR="00BA6E90" w:rsidRDefault="00BA6E90" w:rsidP="00F53D99">
      <w:pPr>
        <w:jc w:val="both"/>
        <w:rPr>
          <w:rFonts w:ascii="Arial" w:hAnsi="Arial" w:cs="Arial"/>
          <w:sz w:val="22"/>
          <w:szCs w:val="22"/>
        </w:rPr>
      </w:pPr>
    </w:p>
    <w:p w14:paraId="3984D57B" w14:textId="5C054A48" w:rsidR="00287671" w:rsidRDefault="00287671" w:rsidP="00287671">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The “closer to each other” means the DG and CA, two connected regions in the hippocampal formation, were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closer to each other in the PCA space.</w:t>
      </w:r>
    </w:p>
    <w:p w14:paraId="777FB3E9" w14:textId="7925FA63" w:rsidR="00E15AF4" w:rsidRPr="00FB3565" w:rsidRDefault="00E15AF4" w:rsidP="00E15AF4">
      <w:pPr>
        <w:rPr>
          <w:rFonts w:ascii="Arial" w:hAnsi="Arial" w:cs="Arial"/>
          <w:sz w:val="22"/>
          <w:szCs w:val="22"/>
        </w:rPr>
      </w:pPr>
    </w:p>
    <w:p w14:paraId="65676714" w14:textId="77777777" w:rsidR="00F607F9" w:rsidRDefault="00F607F9" w:rsidP="00F53D99">
      <w:pPr>
        <w:jc w:val="both"/>
        <w:rPr>
          <w:rFonts w:ascii="Arial" w:hAnsi="Arial" w:cs="Arial"/>
          <w:sz w:val="22"/>
          <w:szCs w:val="22"/>
        </w:rPr>
      </w:pPr>
    </w:p>
    <w:p w14:paraId="1BB329E9" w14:textId="77777777" w:rsidR="00F607F9" w:rsidRDefault="00F607F9" w:rsidP="00F53D99">
      <w:pPr>
        <w:jc w:val="both"/>
        <w:rPr>
          <w:rFonts w:ascii="Arial" w:hAnsi="Arial" w:cs="Arial"/>
          <w:sz w:val="22"/>
          <w:szCs w:val="22"/>
        </w:rPr>
      </w:pPr>
    </w:p>
    <w:p w14:paraId="296E862D" w14:textId="77777777" w:rsidR="00F607F9" w:rsidRDefault="00F607F9" w:rsidP="00F53D99">
      <w:pPr>
        <w:jc w:val="both"/>
        <w:rPr>
          <w:rFonts w:ascii="Arial" w:hAnsi="Arial" w:cs="Arial"/>
          <w:sz w:val="22"/>
          <w:szCs w:val="22"/>
        </w:rPr>
      </w:pPr>
    </w:p>
    <w:p w14:paraId="71D6CF5E" w14:textId="77777777" w:rsidR="00F607F9" w:rsidRDefault="00F607F9" w:rsidP="00F53D99">
      <w:pPr>
        <w:jc w:val="both"/>
        <w:rPr>
          <w:rFonts w:ascii="Arial" w:hAnsi="Arial" w:cs="Arial"/>
          <w:sz w:val="22"/>
          <w:szCs w:val="22"/>
        </w:rPr>
      </w:pPr>
    </w:p>
    <w:p w14:paraId="6368CB2A" w14:textId="77777777" w:rsidR="00F607F9" w:rsidRDefault="00F607F9" w:rsidP="00F53D99">
      <w:pPr>
        <w:jc w:val="both"/>
        <w:rPr>
          <w:rFonts w:ascii="Arial" w:hAnsi="Arial" w:cs="Arial"/>
          <w:sz w:val="22"/>
          <w:szCs w:val="22"/>
        </w:rPr>
      </w:pPr>
    </w:p>
    <w:p w14:paraId="2A5B713A" w14:textId="77777777" w:rsidR="00F607F9" w:rsidRDefault="00F607F9" w:rsidP="00F53D99">
      <w:pPr>
        <w:jc w:val="both"/>
        <w:rPr>
          <w:rFonts w:ascii="Arial" w:hAnsi="Arial" w:cs="Arial"/>
          <w:sz w:val="22"/>
          <w:szCs w:val="22"/>
        </w:rPr>
      </w:pPr>
    </w:p>
    <w:p w14:paraId="366186B5" w14:textId="77777777" w:rsidR="00F607F9" w:rsidRDefault="00F607F9" w:rsidP="00F53D99">
      <w:pPr>
        <w:jc w:val="both"/>
        <w:rPr>
          <w:rFonts w:ascii="Arial" w:hAnsi="Arial" w:cs="Arial"/>
          <w:sz w:val="22"/>
          <w:szCs w:val="22"/>
        </w:rPr>
      </w:pPr>
    </w:p>
    <w:p w14:paraId="12CEF306" w14:textId="77777777" w:rsidR="00F607F9" w:rsidRDefault="00F607F9" w:rsidP="00F53D99">
      <w:pPr>
        <w:jc w:val="both"/>
        <w:rPr>
          <w:rFonts w:ascii="Arial" w:hAnsi="Arial" w:cs="Arial"/>
          <w:sz w:val="22"/>
          <w:szCs w:val="22"/>
        </w:rPr>
      </w:pPr>
    </w:p>
    <w:p w14:paraId="51E399D8" w14:textId="77777777" w:rsidR="00F607F9" w:rsidRDefault="00F607F9" w:rsidP="00F53D99">
      <w:pPr>
        <w:jc w:val="both"/>
        <w:rPr>
          <w:rFonts w:ascii="Arial" w:hAnsi="Arial" w:cs="Arial"/>
          <w:sz w:val="22"/>
          <w:szCs w:val="22"/>
        </w:rPr>
      </w:pPr>
    </w:p>
    <w:p w14:paraId="2DA328AC" w14:textId="77777777" w:rsidR="00F607F9" w:rsidRDefault="00F607F9" w:rsidP="00F53D99">
      <w:pPr>
        <w:jc w:val="both"/>
        <w:rPr>
          <w:rFonts w:ascii="Arial" w:hAnsi="Arial" w:cs="Arial"/>
          <w:sz w:val="22"/>
          <w:szCs w:val="22"/>
        </w:rPr>
      </w:pPr>
    </w:p>
    <w:p w14:paraId="5278CCDF" w14:textId="77777777" w:rsidR="00F607F9" w:rsidRDefault="00F607F9" w:rsidP="00F53D99">
      <w:pPr>
        <w:jc w:val="both"/>
        <w:rPr>
          <w:rFonts w:ascii="Arial" w:hAnsi="Arial" w:cs="Arial"/>
          <w:sz w:val="22"/>
          <w:szCs w:val="22"/>
        </w:rPr>
      </w:pPr>
    </w:p>
    <w:p w14:paraId="7D1AF645" w14:textId="77777777" w:rsidR="00F607F9" w:rsidRDefault="00F607F9" w:rsidP="00F53D99">
      <w:pPr>
        <w:jc w:val="both"/>
        <w:rPr>
          <w:rFonts w:ascii="Arial" w:hAnsi="Arial" w:cs="Arial"/>
          <w:sz w:val="22"/>
          <w:szCs w:val="22"/>
        </w:rPr>
      </w:pPr>
    </w:p>
    <w:p w14:paraId="12764A26" w14:textId="77777777" w:rsidR="00F607F9" w:rsidRDefault="00F607F9" w:rsidP="00F53D99">
      <w:pPr>
        <w:jc w:val="both"/>
        <w:rPr>
          <w:rFonts w:ascii="Arial" w:hAnsi="Arial" w:cs="Arial"/>
          <w:sz w:val="22"/>
          <w:szCs w:val="22"/>
        </w:rPr>
      </w:pPr>
    </w:p>
    <w:p w14:paraId="356BC526" w14:textId="77777777" w:rsidR="00F607F9" w:rsidRDefault="00F607F9" w:rsidP="00F53D99">
      <w:pPr>
        <w:jc w:val="both"/>
        <w:rPr>
          <w:rFonts w:ascii="Arial" w:hAnsi="Arial" w:cs="Arial"/>
          <w:sz w:val="22"/>
          <w:szCs w:val="22"/>
        </w:rPr>
      </w:pPr>
    </w:p>
    <w:p w14:paraId="2C39F2A5" w14:textId="77777777" w:rsidR="00F607F9" w:rsidRDefault="00F607F9" w:rsidP="00F53D99">
      <w:pPr>
        <w:jc w:val="both"/>
        <w:rPr>
          <w:rFonts w:ascii="Arial" w:hAnsi="Arial" w:cs="Arial"/>
          <w:sz w:val="22"/>
          <w:szCs w:val="22"/>
        </w:rPr>
      </w:pPr>
    </w:p>
    <w:p w14:paraId="17934F73" w14:textId="77777777" w:rsidR="00F607F9" w:rsidRDefault="00F607F9" w:rsidP="00F53D99">
      <w:pPr>
        <w:jc w:val="both"/>
        <w:rPr>
          <w:rFonts w:ascii="Arial" w:hAnsi="Arial" w:cs="Arial"/>
          <w:sz w:val="22"/>
          <w:szCs w:val="22"/>
        </w:rPr>
      </w:pPr>
    </w:p>
    <w:p w14:paraId="1EC502C0" w14:textId="77777777" w:rsidR="00F607F9" w:rsidRDefault="00F607F9" w:rsidP="00F53D99">
      <w:pPr>
        <w:jc w:val="both"/>
        <w:rPr>
          <w:rFonts w:ascii="Arial" w:hAnsi="Arial" w:cs="Arial"/>
          <w:sz w:val="22"/>
          <w:szCs w:val="22"/>
        </w:rPr>
      </w:pPr>
    </w:p>
    <w:p w14:paraId="3A228B4B" w14:textId="77777777" w:rsidR="00F607F9" w:rsidRDefault="00F607F9" w:rsidP="00F53D99">
      <w:pPr>
        <w:jc w:val="both"/>
        <w:rPr>
          <w:rFonts w:ascii="Arial" w:hAnsi="Arial" w:cs="Arial"/>
          <w:sz w:val="22"/>
          <w:szCs w:val="22"/>
        </w:rPr>
      </w:pPr>
    </w:p>
    <w:p w14:paraId="6290C94C" w14:textId="77777777" w:rsidR="00F607F9" w:rsidRDefault="00F607F9" w:rsidP="00F53D99">
      <w:pPr>
        <w:jc w:val="both"/>
        <w:rPr>
          <w:rFonts w:ascii="Arial" w:hAnsi="Arial" w:cs="Arial"/>
          <w:sz w:val="22"/>
          <w:szCs w:val="22"/>
        </w:rPr>
      </w:pPr>
    </w:p>
    <w:p w14:paraId="4F45D6D2" w14:textId="77777777" w:rsidR="00F607F9" w:rsidRDefault="00F607F9" w:rsidP="00F53D99">
      <w:pPr>
        <w:jc w:val="both"/>
        <w:rPr>
          <w:rFonts w:ascii="Arial" w:hAnsi="Arial" w:cs="Arial"/>
          <w:sz w:val="22"/>
          <w:szCs w:val="22"/>
        </w:rPr>
      </w:pPr>
    </w:p>
    <w:p w14:paraId="089A2C17" w14:textId="77777777" w:rsidR="00F607F9" w:rsidRDefault="00F607F9" w:rsidP="00F53D99">
      <w:pPr>
        <w:jc w:val="both"/>
        <w:rPr>
          <w:rFonts w:ascii="Arial" w:hAnsi="Arial" w:cs="Arial"/>
          <w:sz w:val="22"/>
          <w:szCs w:val="22"/>
        </w:rPr>
      </w:pPr>
    </w:p>
    <w:p w14:paraId="3DBD324B" w14:textId="77777777" w:rsidR="00F607F9" w:rsidRDefault="00F607F9" w:rsidP="00F53D99">
      <w:pPr>
        <w:jc w:val="both"/>
        <w:rPr>
          <w:rFonts w:ascii="Arial" w:hAnsi="Arial" w:cs="Arial"/>
          <w:sz w:val="22"/>
          <w:szCs w:val="22"/>
        </w:rPr>
      </w:pPr>
    </w:p>
    <w:p w14:paraId="791018EC" w14:textId="77777777" w:rsidR="00F607F9" w:rsidRDefault="00F607F9" w:rsidP="00F53D99">
      <w:pPr>
        <w:jc w:val="both"/>
        <w:rPr>
          <w:rFonts w:ascii="Arial" w:hAnsi="Arial" w:cs="Arial"/>
          <w:sz w:val="22"/>
          <w:szCs w:val="22"/>
        </w:rPr>
      </w:pPr>
    </w:p>
    <w:p w14:paraId="01A361A9" w14:textId="77777777" w:rsidR="00F607F9" w:rsidRDefault="00F607F9" w:rsidP="00F53D99">
      <w:pPr>
        <w:jc w:val="both"/>
        <w:rPr>
          <w:rFonts w:ascii="Arial" w:hAnsi="Arial" w:cs="Arial"/>
          <w:sz w:val="22"/>
          <w:szCs w:val="22"/>
        </w:rPr>
      </w:pPr>
    </w:p>
    <w:p w14:paraId="657B8006" w14:textId="77777777" w:rsidR="00F607F9" w:rsidRDefault="00F607F9" w:rsidP="00F53D99">
      <w:pPr>
        <w:jc w:val="both"/>
        <w:rPr>
          <w:rFonts w:ascii="Arial" w:hAnsi="Arial" w:cs="Arial"/>
          <w:sz w:val="22"/>
          <w:szCs w:val="22"/>
        </w:rPr>
      </w:pPr>
    </w:p>
    <w:p w14:paraId="5A8A11DC" w14:textId="77777777" w:rsidR="00F607F9" w:rsidRDefault="00F607F9" w:rsidP="00F53D99">
      <w:pPr>
        <w:jc w:val="both"/>
        <w:rPr>
          <w:rFonts w:ascii="Arial" w:hAnsi="Arial" w:cs="Arial"/>
          <w:sz w:val="22"/>
          <w:szCs w:val="22"/>
        </w:rPr>
      </w:pPr>
    </w:p>
    <w:p w14:paraId="7C928775" w14:textId="77777777" w:rsidR="00F607F9" w:rsidRDefault="00F607F9" w:rsidP="00F53D99">
      <w:pPr>
        <w:jc w:val="both"/>
        <w:rPr>
          <w:rFonts w:ascii="Arial" w:hAnsi="Arial" w:cs="Arial"/>
          <w:sz w:val="22"/>
          <w:szCs w:val="22"/>
        </w:rPr>
      </w:pPr>
    </w:p>
    <w:p w14:paraId="30187BAE" w14:textId="77777777" w:rsidR="00F607F9" w:rsidRDefault="00F607F9" w:rsidP="00F53D99">
      <w:pPr>
        <w:jc w:val="both"/>
        <w:rPr>
          <w:rFonts w:ascii="Arial" w:hAnsi="Arial" w:cs="Arial"/>
          <w:sz w:val="22"/>
          <w:szCs w:val="22"/>
        </w:rPr>
      </w:pPr>
    </w:p>
    <w:p w14:paraId="56E4B8DF" w14:textId="77777777" w:rsidR="00F607F9" w:rsidRDefault="00F607F9" w:rsidP="00F53D99">
      <w:pPr>
        <w:jc w:val="both"/>
        <w:rPr>
          <w:rFonts w:ascii="Arial" w:hAnsi="Arial" w:cs="Arial"/>
          <w:sz w:val="22"/>
          <w:szCs w:val="22"/>
        </w:rPr>
      </w:pPr>
    </w:p>
    <w:p w14:paraId="3474BD74" w14:textId="364D8499" w:rsidR="00F53D99" w:rsidRPr="00FB3565" w:rsidRDefault="00F53D99" w:rsidP="00F53D99">
      <w:pPr>
        <w:jc w:val="both"/>
        <w:rPr>
          <w:rFonts w:ascii="Arial" w:hAnsi="Arial" w:cs="Arial"/>
          <w:sz w:val="22"/>
          <w:szCs w:val="22"/>
        </w:rPr>
      </w:pPr>
      <w:r w:rsidRPr="00FB3565">
        <w:rPr>
          <w:rFonts w:ascii="Arial" w:hAnsi="Arial" w:cs="Arial"/>
          <w:sz w:val="22"/>
          <w:szCs w:val="22"/>
        </w:rPr>
        <w:lastRenderedPageBreak/>
        <w:t>Reviewer #3 (Remarks to the Author):</w:t>
      </w:r>
    </w:p>
    <w:p w14:paraId="7D94D8FD" w14:textId="77777777" w:rsidR="00F53D99" w:rsidRPr="00FB3565" w:rsidRDefault="00F53D99" w:rsidP="00F53D99">
      <w:pPr>
        <w:jc w:val="both"/>
        <w:rPr>
          <w:rFonts w:ascii="Arial" w:hAnsi="Arial" w:cs="Arial"/>
          <w:sz w:val="22"/>
          <w:szCs w:val="22"/>
        </w:rPr>
      </w:pPr>
    </w:p>
    <w:p w14:paraId="410394D6" w14:textId="5255578C" w:rsidR="00E15AF4" w:rsidRPr="00FB3565" w:rsidRDefault="00F53D99" w:rsidP="00F53D99">
      <w:pPr>
        <w:jc w:val="both"/>
        <w:rPr>
          <w:rFonts w:ascii="Arial" w:hAnsi="Arial" w:cs="Arial"/>
          <w:sz w:val="22"/>
          <w:szCs w:val="22"/>
        </w:rPr>
      </w:pPr>
      <w:r w:rsidRPr="00FB3565">
        <w:rPr>
          <w:rFonts w:ascii="Arial" w:hAnsi="Arial" w:cs="Arial"/>
          <w:sz w:val="22"/>
          <w:szCs w:val="22"/>
        </w:rPr>
        <w:t xml:space="preserve">This paper examines the impact of acute, peripheral methamphetamine exposure on both the transcriptomic and chromatin landscapes of </w:t>
      </w:r>
      <w:r w:rsidRPr="00FB3565">
        <w:rPr>
          <w:rFonts w:ascii="Arial" w:hAnsi="Arial" w:cs="Arial"/>
          <w:color w:val="FF0000"/>
          <w:sz w:val="22"/>
          <w:szCs w:val="22"/>
        </w:rPr>
        <w:t xml:space="preserve">reward-related brain </w:t>
      </w:r>
      <w:r w:rsidRPr="00FB3565">
        <w:rPr>
          <w:rFonts w:ascii="Arial" w:hAnsi="Arial" w:cs="Arial"/>
          <w:sz w:val="22"/>
          <w:szCs w:val="22"/>
        </w:rPr>
        <w:t>regions in adult, male rats. In animal models, methamphetamine is not a widely studied substance, despite the prevalence of use in humans. There are many strengths to the presented work. The inclusion of both transcriptomic and chromatin landscape data is a clear strength, as is the inclusion of the brain region comparisons. The figures are beautiful and facilitate the understanding of complex datasets. The authors provide many easy-to-understand supplemental tables and describe their comparisons in detail. There are some ways in which the manuscript could be strengthened further prior to publication, which are listed below.</w:t>
      </w:r>
    </w:p>
    <w:p w14:paraId="40FC7DB7" w14:textId="316FB205" w:rsidR="00E15AF4" w:rsidRPr="00FB3565" w:rsidRDefault="00E15AF4" w:rsidP="00E15AF4">
      <w:pPr>
        <w:rPr>
          <w:rFonts w:ascii="Arial" w:hAnsi="Arial" w:cs="Arial"/>
          <w:sz w:val="22"/>
          <w:szCs w:val="22"/>
        </w:rPr>
      </w:pPr>
    </w:p>
    <w:p w14:paraId="26D1D6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1.It is unfortunate that female rats were not included in this study. Further, it is a bit difficult to discern this fact in the current version unless one goes looking. The title of the paper needs to include </w:t>
      </w:r>
      <w:commentRangeStart w:id="63"/>
      <w:r w:rsidRPr="00FB3565">
        <w:rPr>
          <w:rFonts w:ascii="Arial" w:hAnsi="Arial" w:cs="Arial"/>
          <w:sz w:val="22"/>
          <w:szCs w:val="22"/>
        </w:rPr>
        <w:t>“male rats” and the authors should emphasize this limitation within the manuscript</w:t>
      </w:r>
      <w:commentRangeEnd w:id="63"/>
      <w:r w:rsidR="00BF35E7" w:rsidRPr="00FB3565">
        <w:rPr>
          <w:rStyle w:val="CommentReference"/>
          <w:rFonts w:ascii="Arial" w:hAnsi="Arial" w:cs="Arial"/>
          <w:sz w:val="22"/>
          <w:szCs w:val="22"/>
        </w:rPr>
        <w:commentReference w:id="63"/>
      </w:r>
      <w:r w:rsidRPr="00FB3565">
        <w:rPr>
          <w:rFonts w:ascii="Arial" w:hAnsi="Arial" w:cs="Arial"/>
          <w:sz w:val="22"/>
          <w:szCs w:val="22"/>
        </w:rPr>
        <w:t>.</w:t>
      </w:r>
    </w:p>
    <w:p w14:paraId="5B2FDCA7" w14:textId="291D920A" w:rsidR="004C2E15" w:rsidRDefault="004C2E15" w:rsidP="004C2E15">
      <w:pPr>
        <w:jc w:val="both"/>
        <w:rPr>
          <w:rFonts w:ascii="Arial" w:hAnsi="Arial" w:cs="Arial"/>
          <w:sz w:val="22"/>
          <w:szCs w:val="22"/>
        </w:rPr>
      </w:pPr>
    </w:p>
    <w:p w14:paraId="631BDBEB" w14:textId="77777777" w:rsidR="00DE6CA7" w:rsidRDefault="00346DF8" w:rsidP="00346DF8">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346DF8">
        <w:rPr>
          <w:rFonts w:ascii="Arial" w:hAnsi="Arial" w:cs="Arial"/>
          <w:color w:val="2E74B5" w:themeColor="accent5" w:themeShade="BF"/>
          <w:sz w:val="22"/>
          <w:szCs w:val="22"/>
        </w:rPr>
        <w:t>We modified the title of the paper to include</w:t>
      </w:r>
      <w:r>
        <w:rPr>
          <w:rFonts w:ascii="Arial" w:hAnsi="Arial" w:cs="Arial"/>
          <w:color w:val="2E74B5" w:themeColor="accent5" w:themeShade="BF"/>
          <w:sz w:val="22"/>
          <w:szCs w:val="22"/>
        </w:rPr>
        <w:t xml:space="preserve"> “male rat”</w:t>
      </w:r>
      <w:r w:rsidRPr="00346DF8">
        <w:rPr>
          <w:rFonts w:ascii="Arial" w:hAnsi="Arial" w:cs="Arial"/>
          <w:color w:val="2E74B5" w:themeColor="accent5" w:themeShade="BF"/>
          <w:sz w:val="22"/>
          <w:szCs w:val="22"/>
        </w:rPr>
        <w:t xml:space="preserve"> and emphasized this limitation within discussion of the manuscript. Now the title is “Methamphetamine induced regional-specific transcriptomic and epigenetic changes in the brain of male rats”</w:t>
      </w:r>
      <w:r>
        <w:rPr>
          <w:rFonts w:ascii="Arial" w:hAnsi="Arial" w:cs="Arial"/>
          <w:color w:val="2E74B5" w:themeColor="accent5" w:themeShade="BF"/>
          <w:sz w:val="22"/>
          <w:szCs w:val="22"/>
        </w:rPr>
        <w:t xml:space="preserve">. </w:t>
      </w:r>
    </w:p>
    <w:p w14:paraId="61E7DC27" w14:textId="6495D511" w:rsidR="00346DF8" w:rsidRDefault="00346DF8" w:rsidP="00346DF8">
      <w:pPr>
        <w:jc w:val="both"/>
        <w:rPr>
          <w:rFonts w:ascii="Arial" w:hAnsi="Arial" w:cs="Arial"/>
          <w:sz w:val="22"/>
          <w:szCs w:val="22"/>
        </w:rPr>
      </w:pPr>
      <w:r>
        <w:rPr>
          <w:rFonts w:ascii="Arial" w:hAnsi="Arial" w:cs="Arial"/>
          <w:color w:val="2E74B5" w:themeColor="accent5" w:themeShade="BF"/>
          <w:sz w:val="22"/>
          <w:szCs w:val="22"/>
        </w:rPr>
        <w:t>In the Line 437 of d</w:t>
      </w:r>
      <w:r w:rsidRPr="00346DF8">
        <w:rPr>
          <w:rFonts w:ascii="Arial" w:hAnsi="Arial" w:cs="Arial"/>
          <w:color w:val="2E74B5" w:themeColor="accent5" w:themeShade="BF"/>
          <w:sz w:val="22"/>
          <w:szCs w:val="22"/>
        </w:rPr>
        <w:t>iscussion</w:t>
      </w:r>
      <w:r>
        <w:rPr>
          <w:rFonts w:ascii="Arial" w:hAnsi="Arial" w:cs="Arial"/>
          <w:color w:val="2E74B5" w:themeColor="accent5" w:themeShade="BF"/>
          <w:sz w:val="22"/>
          <w:szCs w:val="22"/>
        </w:rPr>
        <w:t xml:space="preserve">, we </w:t>
      </w:r>
      <w:r w:rsidR="00B03A72">
        <w:rPr>
          <w:rFonts w:ascii="Arial" w:hAnsi="Arial" w:cs="Arial"/>
          <w:color w:val="2E74B5" w:themeColor="accent5" w:themeShade="BF"/>
          <w:sz w:val="22"/>
          <w:szCs w:val="22"/>
        </w:rPr>
        <w:t>described the limitation of the paper, “</w:t>
      </w:r>
      <w:r w:rsidRPr="00346DF8">
        <w:rPr>
          <w:rFonts w:ascii="Arial" w:hAnsi="Arial" w:cs="Arial"/>
          <w:color w:val="2E74B5" w:themeColor="accent5" w:themeShade="BF"/>
          <w:sz w:val="22"/>
          <w:szCs w:val="22"/>
        </w:rPr>
        <w:t>Furthermore, this study was limited in the male rats to understand the mechanism of brain with METH exposure, it will be very interesting to explore whether the rat brain display sex-specific responding to METH exposure by including female rats in the future.</w:t>
      </w:r>
      <w:r w:rsidR="00B03A72">
        <w:rPr>
          <w:rFonts w:ascii="Arial" w:hAnsi="Arial" w:cs="Arial"/>
          <w:color w:val="2E74B5" w:themeColor="accent5" w:themeShade="BF"/>
          <w:sz w:val="22"/>
          <w:szCs w:val="22"/>
        </w:rPr>
        <w:t>”.</w:t>
      </w:r>
    </w:p>
    <w:p w14:paraId="30388532" w14:textId="61B53A48" w:rsidR="00346DF8" w:rsidRPr="00346DF8" w:rsidRDefault="00DE6CA7" w:rsidP="00346DF8">
      <w:pPr>
        <w:jc w:val="both"/>
        <w:rPr>
          <w:rFonts w:ascii="Arial" w:hAnsi="Arial" w:cs="Arial"/>
          <w:color w:val="2E74B5" w:themeColor="accent5" w:themeShade="BF"/>
          <w:sz w:val="22"/>
          <w:szCs w:val="22"/>
        </w:rPr>
      </w:pPr>
      <w:r>
        <w:rPr>
          <w:rFonts w:ascii="Arial" w:hAnsi="Arial" w:cs="Arial" w:hint="eastAsia"/>
          <w:color w:val="2E74B5" w:themeColor="accent5" w:themeShade="BF"/>
          <w:sz w:val="22"/>
          <w:szCs w:val="22"/>
        </w:rPr>
        <w:t>We</w:t>
      </w:r>
      <w:r>
        <w:rPr>
          <w:rFonts w:ascii="Arial" w:hAnsi="Arial" w:cs="Arial"/>
          <w:color w:val="2E74B5" w:themeColor="accent5" w:themeShade="BF"/>
          <w:sz w:val="22"/>
          <w:szCs w:val="22"/>
        </w:rPr>
        <w:t xml:space="preserve"> also modified the results:</w:t>
      </w:r>
    </w:p>
    <w:p w14:paraId="1BD42E6C" w14:textId="77777777" w:rsidR="00346DF8" w:rsidRPr="00346DF8" w:rsidRDefault="00346DF8" w:rsidP="00346DF8">
      <w:pPr>
        <w:jc w:val="both"/>
        <w:rPr>
          <w:rFonts w:ascii="Arial" w:hAnsi="Arial" w:cs="Arial"/>
          <w:color w:val="2E74B5" w:themeColor="accent5" w:themeShade="BF"/>
          <w:sz w:val="22"/>
          <w:szCs w:val="22"/>
        </w:rPr>
      </w:pPr>
      <w:r w:rsidRPr="00346DF8">
        <w:rPr>
          <w:rFonts w:ascii="Arial" w:hAnsi="Arial" w:cs="Arial"/>
          <w:color w:val="2E74B5" w:themeColor="accent5" w:themeShade="BF"/>
          <w:sz w:val="22"/>
          <w:szCs w:val="22"/>
        </w:rPr>
        <w:t>Line 34: responses to a METH overdose in four brain regions of male rat, including …</w:t>
      </w:r>
    </w:p>
    <w:p w14:paraId="360598C9" w14:textId="77777777" w:rsidR="00346DF8" w:rsidRPr="00346DF8" w:rsidRDefault="00346DF8" w:rsidP="00346DF8">
      <w:pPr>
        <w:jc w:val="both"/>
        <w:rPr>
          <w:rFonts w:ascii="Arial" w:hAnsi="Arial" w:cs="Arial"/>
          <w:color w:val="2E74B5" w:themeColor="accent5" w:themeShade="BF"/>
          <w:sz w:val="22"/>
          <w:szCs w:val="22"/>
        </w:rPr>
      </w:pPr>
      <w:r w:rsidRPr="00346DF8">
        <w:rPr>
          <w:rFonts w:ascii="Arial" w:hAnsi="Arial" w:cs="Arial"/>
          <w:color w:val="2E74B5" w:themeColor="accent5" w:themeShade="BF"/>
          <w:sz w:val="22"/>
          <w:szCs w:val="22"/>
        </w:rPr>
        <w:t>Line 48: in distinct brain regions in male rat</w:t>
      </w:r>
    </w:p>
    <w:p w14:paraId="0FC32FAA" w14:textId="77777777" w:rsidR="00346DF8" w:rsidRPr="00346DF8" w:rsidRDefault="00346DF8" w:rsidP="00346DF8">
      <w:pPr>
        <w:jc w:val="both"/>
        <w:rPr>
          <w:rFonts w:ascii="Arial" w:hAnsi="Arial" w:cs="Arial"/>
          <w:color w:val="2E74B5" w:themeColor="accent5" w:themeShade="BF"/>
          <w:sz w:val="22"/>
          <w:szCs w:val="22"/>
        </w:rPr>
      </w:pPr>
      <w:r w:rsidRPr="00346DF8">
        <w:rPr>
          <w:rFonts w:ascii="Arial" w:hAnsi="Arial" w:cs="Arial"/>
          <w:color w:val="2E74B5" w:themeColor="accent5" w:themeShade="BF"/>
          <w:sz w:val="22"/>
          <w:szCs w:val="22"/>
        </w:rPr>
        <w:t>Line 97: overdose in four brain regions of male rats,</w:t>
      </w:r>
    </w:p>
    <w:p w14:paraId="4E083BAA" w14:textId="77777777" w:rsidR="00346DF8" w:rsidRPr="00346DF8" w:rsidRDefault="00346DF8" w:rsidP="00346DF8">
      <w:pPr>
        <w:jc w:val="both"/>
        <w:rPr>
          <w:rFonts w:ascii="Arial" w:hAnsi="Arial" w:cs="Arial"/>
          <w:color w:val="2E74B5" w:themeColor="accent5" w:themeShade="BF"/>
          <w:sz w:val="22"/>
          <w:szCs w:val="22"/>
        </w:rPr>
      </w:pPr>
      <w:r w:rsidRPr="00346DF8">
        <w:rPr>
          <w:rFonts w:ascii="Arial" w:hAnsi="Arial" w:cs="Arial"/>
          <w:color w:val="2E74B5" w:themeColor="accent5" w:themeShade="BF"/>
          <w:sz w:val="22"/>
          <w:szCs w:val="22"/>
        </w:rPr>
        <w:t>Line 123: Sprague–Dawley male rats to a high-dose METH binge (4 x 10 mg/kg, every two hours).</w:t>
      </w:r>
    </w:p>
    <w:p w14:paraId="4B87E395" w14:textId="77777777" w:rsidR="00346DF8" w:rsidRPr="00FB3565" w:rsidRDefault="00346DF8" w:rsidP="004C2E15">
      <w:pPr>
        <w:jc w:val="both"/>
        <w:rPr>
          <w:rFonts w:ascii="Arial" w:hAnsi="Arial" w:cs="Arial"/>
          <w:sz w:val="22"/>
          <w:szCs w:val="22"/>
        </w:rPr>
      </w:pPr>
    </w:p>
    <w:p w14:paraId="5630CB3B" w14:textId="683BBBDF" w:rsidR="004C2E15" w:rsidRDefault="004C2E15" w:rsidP="004C2E15">
      <w:pPr>
        <w:jc w:val="both"/>
        <w:rPr>
          <w:rFonts w:ascii="Arial" w:hAnsi="Arial" w:cs="Arial"/>
          <w:sz w:val="22"/>
          <w:szCs w:val="22"/>
        </w:rPr>
      </w:pPr>
      <w:r w:rsidRPr="00FB3565">
        <w:rPr>
          <w:rFonts w:ascii="Arial" w:hAnsi="Arial" w:cs="Arial"/>
          <w:sz w:val="22"/>
          <w:szCs w:val="22"/>
        </w:rPr>
        <w:t xml:space="preserve">2. </w:t>
      </w:r>
      <w:bookmarkStart w:id="64" w:name="OLE_LINK18"/>
      <w:bookmarkStart w:id="65" w:name="OLE_LINK19"/>
      <w:r w:rsidRPr="00FB3565">
        <w:rPr>
          <w:rFonts w:ascii="Arial" w:hAnsi="Arial" w:cs="Arial"/>
          <w:sz w:val="22"/>
          <w:szCs w:val="22"/>
        </w:rPr>
        <w:t>There are some concerns about the way in which this study is put into contrast with human drug use</w:t>
      </w:r>
      <w:bookmarkEnd w:id="64"/>
      <w:bookmarkEnd w:id="65"/>
      <w:r w:rsidRPr="00FB3565">
        <w:rPr>
          <w:rFonts w:ascii="Arial" w:hAnsi="Arial" w:cs="Arial"/>
          <w:sz w:val="22"/>
          <w:szCs w:val="22"/>
        </w:rPr>
        <w:t xml:space="preserve">. Many of studies cited reference long-term drug use, while the current study addresses the impact of a set of acute exposures to METH. Additionally, it is not clear how the term ‘overdose’ was chosen to describe the paradigm used. What constitutes an overdose and how did the authors verify that each animal had such an experience? There was mention of temperature data in the methods, but it is not obvious if this was how overdose was ‘measured’ nor are the data </w:t>
      </w:r>
      <w:commentRangeStart w:id="66"/>
      <w:r w:rsidRPr="00FB3565">
        <w:rPr>
          <w:rFonts w:ascii="Arial" w:hAnsi="Arial" w:cs="Arial"/>
          <w:sz w:val="22"/>
          <w:szCs w:val="22"/>
        </w:rPr>
        <w:t>reported</w:t>
      </w:r>
      <w:commentRangeEnd w:id="66"/>
      <w:r w:rsidR="00941469">
        <w:rPr>
          <w:rStyle w:val="CommentReference"/>
        </w:rPr>
        <w:commentReference w:id="66"/>
      </w:r>
      <w:r w:rsidRPr="00FB3565">
        <w:rPr>
          <w:rFonts w:ascii="Arial" w:hAnsi="Arial" w:cs="Arial"/>
          <w:sz w:val="22"/>
          <w:szCs w:val="22"/>
        </w:rPr>
        <w:t>.</w:t>
      </w:r>
    </w:p>
    <w:p w14:paraId="56A3441C" w14:textId="5078C7CE" w:rsidR="0059789E" w:rsidRDefault="0059789E" w:rsidP="004C2E15">
      <w:pPr>
        <w:jc w:val="both"/>
        <w:rPr>
          <w:rFonts w:ascii="Arial" w:hAnsi="Arial" w:cs="Arial"/>
          <w:sz w:val="22"/>
          <w:szCs w:val="22"/>
        </w:rPr>
      </w:pPr>
    </w:p>
    <w:p w14:paraId="0786314A" w14:textId="77777777" w:rsidR="0059789E" w:rsidRPr="0059789E" w:rsidRDefault="0059789E" w:rsidP="0059789E">
      <w:pPr>
        <w:jc w:val="both"/>
        <w:rPr>
          <w:rFonts w:ascii="Arial" w:hAnsi="Arial" w:cs="Arial"/>
          <w:color w:val="2E74B5" w:themeColor="accent5" w:themeShade="BF"/>
          <w:sz w:val="22"/>
          <w:szCs w:val="22"/>
        </w:rPr>
      </w:pPr>
      <w:r w:rsidRPr="0059789E">
        <w:rPr>
          <w:rFonts w:ascii="Arial" w:hAnsi="Arial" w:cs="Arial"/>
          <w:color w:val="2E74B5" w:themeColor="accent5" w:themeShade="BF"/>
          <w:sz w:val="22"/>
          <w:szCs w:val="22"/>
        </w:rPr>
        <w:t>Administration of METH in a binge in our study is an established model of METH neurotoxicity and to look at regional differences, although this model does not exactly mimic human METH use which is chronic. And chronic METH administration also produces similar neurotoxic effects in the body. Our study is interesting research because METH is neurotoxic to selective brain areas (mainly to striatum, prefrontal cortex, hippocampus, and amygdala). We also added more citation about the acute exposure to METH.</w:t>
      </w:r>
    </w:p>
    <w:p w14:paraId="421DA4EC" w14:textId="77777777" w:rsidR="0059789E" w:rsidRPr="0059789E" w:rsidRDefault="0059789E" w:rsidP="0059789E">
      <w:pPr>
        <w:jc w:val="both"/>
        <w:rPr>
          <w:rFonts w:ascii="Arial" w:hAnsi="Arial" w:cs="Arial"/>
          <w:color w:val="2E74B5" w:themeColor="accent5" w:themeShade="BF"/>
          <w:sz w:val="22"/>
          <w:szCs w:val="22"/>
        </w:rPr>
      </w:pPr>
    </w:p>
    <w:p w14:paraId="064CBEB1" w14:textId="418CEB40" w:rsidR="0059789E" w:rsidRDefault="0059789E" w:rsidP="0059789E">
      <w:pPr>
        <w:jc w:val="both"/>
        <w:rPr>
          <w:rFonts w:ascii="Arial" w:hAnsi="Arial" w:cs="Arial"/>
          <w:color w:val="2E74B5" w:themeColor="accent5" w:themeShade="BF"/>
          <w:sz w:val="22"/>
          <w:szCs w:val="22"/>
        </w:rPr>
      </w:pPr>
      <w:r w:rsidRPr="0059789E">
        <w:rPr>
          <w:rFonts w:ascii="Arial" w:hAnsi="Arial" w:cs="Arial"/>
          <w:color w:val="2E74B5" w:themeColor="accent5" w:themeShade="BF"/>
          <w:sz w:val="22"/>
          <w:szCs w:val="22"/>
        </w:rPr>
        <w:t xml:space="preserve">In this study, four 10mg/kg METH doses administered every 2h is an extreme dosing schedule. It is well-established model of METH neurotoxicity to the brain. </w:t>
      </w:r>
      <w:r w:rsidR="00F90E62">
        <w:rPr>
          <w:rFonts w:ascii="Arial" w:hAnsi="Arial" w:cs="Arial"/>
          <w:color w:val="2E74B5" w:themeColor="accent5" w:themeShade="BF"/>
          <w:sz w:val="22"/>
          <w:szCs w:val="22"/>
        </w:rPr>
        <w:t xml:space="preserve">But </w:t>
      </w:r>
      <w:r w:rsidRPr="0059789E">
        <w:rPr>
          <w:rFonts w:ascii="Arial" w:hAnsi="Arial" w:cs="Arial"/>
          <w:color w:val="2E74B5" w:themeColor="accent5" w:themeShade="BF"/>
          <w:sz w:val="22"/>
          <w:szCs w:val="22"/>
        </w:rPr>
        <w:t xml:space="preserve">majority of the studies with 4x10mg/kg METH call this regiment “METH binge” or “neurotoxic METH regiment”. The term “overdose” is not commonly used in these studies and people think of overdose when a person or laboratory animal self-administers high METH doses. On the other hand, this regiment is neurotoxic to the brain and METH overdose in humans chronically misusing METH causes neurotoxicity. So, we </w:t>
      </w:r>
      <w:r w:rsidR="00941469">
        <w:rPr>
          <w:rFonts w:ascii="Arial" w:hAnsi="Arial" w:cs="Arial"/>
          <w:color w:val="2E74B5" w:themeColor="accent5" w:themeShade="BF"/>
          <w:sz w:val="22"/>
          <w:szCs w:val="22"/>
        </w:rPr>
        <w:t>can use</w:t>
      </w:r>
      <w:r w:rsidRPr="0059789E">
        <w:rPr>
          <w:rFonts w:ascii="Arial" w:hAnsi="Arial" w:cs="Arial"/>
          <w:color w:val="2E74B5" w:themeColor="accent5" w:themeShade="BF"/>
          <w:sz w:val="22"/>
          <w:szCs w:val="22"/>
        </w:rPr>
        <w:t xml:space="preserve"> “acute METH overdose” or “neurotoxic METH regiment”</w:t>
      </w:r>
      <w:r w:rsidR="00941469">
        <w:rPr>
          <w:rFonts w:ascii="Arial" w:hAnsi="Arial" w:cs="Arial"/>
          <w:color w:val="2E74B5" w:themeColor="accent5" w:themeShade="BF"/>
          <w:sz w:val="22"/>
          <w:szCs w:val="22"/>
        </w:rPr>
        <w:t xml:space="preserve"> for the </w:t>
      </w:r>
      <w:r w:rsidR="00941469">
        <w:rPr>
          <w:rFonts w:ascii="Arial" w:hAnsi="Arial" w:cs="Arial"/>
          <w:color w:val="2E74B5" w:themeColor="accent5" w:themeShade="BF"/>
          <w:sz w:val="22"/>
          <w:szCs w:val="22"/>
        </w:rPr>
        <w:lastRenderedPageBreak/>
        <w:t>regiment</w:t>
      </w:r>
      <w:r w:rsidRPr="0059789E">
        <w:rPr>
          <w:rFonts w:ascii="Arial" w:hAnsi="Arial" w:cs="Arial"/>
          <w:color w:val="2E74B5" w:themeColor="accent5" w:themeShade="BF"/>
          <w:sz w:val="22"/>
          <w:szCs w:val="22"/>
        </w:rPr>
        <w:t>. To avoid the misunderstanding, we changed the phrase “METH overdose” to “METH binge”.</w:t>
      </w:r>
    </w:p>
    <w:p w14:paraId="5629DEC6" w14:textId="1F543AAF" w:rsidR="00941469" w:rsidRDefault="00941469" w:rsidP="0059789E">
      <w:pPr>
        <w:jc w:val="both"/>
        <w:rPr>
          <w:rFonts w:ascii="Arial" w:hAnsi="Arial" w:cs="Arial"/>
          <w:color w:val="2E74B5" w:themeColor="accent5" w:themeShade="BF"/>
          <w:sz w:val="22"/>
          <w:szCs w:val="22"/>
        </w:rPr>
      </w:pPr>
    </w:p>
    <w:p w14:paraId="7D5BFC80" w14:textId="603A245F" w:rsidR="00941469" w:rsidRDefault="00941469" w:rsidP="0059789E">
      <w:pPr>
        <w:jc w:val="both"/>
        <w:rPr>
          <w:rFonts w:ascii="Arial" w:hAnsi="Arial" w:cs="Arial"/>
          <w:color w:val="2E74B5" w:themeColor="accent5" w:themeShade="BF"/>
          <w:sz w:val="22"/>
          <w:szCs w:val="22"/>
        </w:rPr>
      </w:pPr>
      <w:r w:rsidRPr="00941469">
        <w:rPr>
          <w:rFonts w:ascii="Arial" w:hAnsi="Arial" w:cs="Arial"/>
          <w:color w:val="2E74B5" w:themeColor="accent5" w:themeShade="BF"/>
          <w:sz w:val="22"/>
          <w:szCs w:val="22"/>
        </w:rPr>
        <w:t>Regarding measurement METH overdose</w:t>
      </w:r>
      <w:r>
        <w:rPr>
          <w:rFonts w:ascii="Arial" w:hAnsi="Arial" w:cs="Arial"/>
          <w:color w:val="2E74B5" w:themeColor="accent5" w:themeShade="BF"/>
          <w:sz w:val="22"/>
          <w:szCs w:val="22"/>
        </w:rPr>
        <w:t>/</w:t>
      </w:r>
      <w:r w:rsidRPr="00941469">
        <w:rPr>
          <w:rFonts w:ascii="Arial" w:hAnsi="Arial" w:cs="Arial"/>
          <w:color w:val="2E74B5" w:themeColor="accent5" w:themeShade="BF"/>
          <w:sz w:val="22"/>
          <w:szCs w:val="22"/>
        </w:rPr>
        <w:t xml:space="preserve"> </w:t>
      </w:r>
      <w:r w:rsidRPr="0059789E">
        <w:rPr>
          <w:rFonts w:ascii="Arial" w:hAnsi="Arial" w:cs="Arial"/>
          <w:color w:val="2E74B5" w:themeColor="accent5" w:themeShade="BF"/>
          <w:sz w:val="22"/>
          <w:szCs w:val="22"/>
        </w:rPr>
        <w:t>METH binge</w:t>
      </w:r>
      <w:r w:rsidRPr="00941469">
        <w:rPr>
          <w:rFonts w:ascii="Arial" w:hAnsi="Arial" w:cs="Arial"/>
          <w:color w:val="2E74B5" w:themeColor="accent5" w:themeShade="BF"/>
          <w:sz w:val="22"/>
          <w:szCs w:val="22"/>
        </w:rPr>
        <w:t>, hyperthermia is an indicator of METH neurotoxicity: the higher hyperthermia the higher neurotoxicity (Bowyer et al. 1992, 1994). All METH-treated rats in our study reached 39</w:t>
      </w:r>
      <w:r w:rsidR="00DF067F">
        <w:rPr>
          <w:rFonts w:ascii="Arial" w:hAnsi="Arial" w:cs="Arial"/>
          <w:color w:val="2E74B5" w:themeColor="accent5" w:themeShade="BF"/>
          <w:sz w:val="22"/>
          <w:szCs w:val="22"/>
        </w:rPr>
        <w:sym w:font="Symbol" w:char="F0B0"/>
      </w:r>
      <w:r w:rsidRPr="00941469">
        <w:rPr>
          <w:rFonts w:ascii="Arial" w:hAnsi="Arial" w:cs="Arial"/>
          <w:color w:val="2E74B5" w:themeColor="accent5" w:themeShade="BF"/>
          <w:sz w:val="22"/>
          <w:szCs w:val="22"/>
        </w:rPr>
        <w:t>C indicating neurotoxicity</w:t>
      </w:r>
      <w:r>
        <w:rPr>
          <w:rFonts w:ascii="Arial" w:hAnsi="Arial" w:cs="Arial"/>
          <w:color w:val="2E74B5" w:themeColor="accent5" w:themeShade="BF"/>
          <w:sz w:val="22"/>
          <w:szCs w:val="22"/>
        </w:rPr>
        <w:t>.</w:t>
      </w:r>
    </w:p>
    <w:p w14:paraId="30F0A7D2" w14:textId="4FAAAD75" w:rsidR="002222F6" w:rsidRPr="00CC077C" w:rsidRDefault="00941469" w:rsidP="00CC077C">
      <w:pPr>
        <w:jc w:val="center"/>
        <w:rPr>
          <w:rFonts w:ascii="Arial" w:hAnsi="Arial" w:cs="Arial"/>
          <w:color w:val="2E74B5" w:themeColor="accent5" w:themeShade="BF"/>
          <w:sz w:val="22"/>
          <w:szCs w:val="22"/>
        </w:rPr>
      </w:pPr>
      <w:r w:rsidRPr="00B155E0">
        <w:rPr>
          <w:noProof/>
          <w:color w:val="7030A0"/>
        </w:rPr>
        <w:drawing>
          <wp:inline distT="0" distB="0" distL="0" distR="0" wp14:anchorId="3ACA297D" wp14:editId="78A67F57">
            <wp:extent cx="2852615" cy="18904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60143" cy="1895479"/>
                    </a:xfrm>
                    <a:prstGeom prst="rect">
                      <a:avLst/>
                    </a:prstGeom>
                  </pic:spPr>
                </pic:pic>
              </a:graphicData>
            </a:graphic>
          </wp:inline>
        </w:drawing>
      </w:r>
    </w:p>
    <w:p w14:paraId="23DB3936" w14:textId="77777777" w:rsidR="000F0AA5" w:rsidRPr="00FB3565" w:rsidRDefault="000F0AA5" w:rsidP="004C2E15">
      <w:pPr>
        <w:jc w:val="both"/>
        <w:rPr>
          <w:rFonts w:ascii="Arial" w:hAnsi="Arial" w:cs="Arial"/>
          <w:sz w:val="22"/>
          <w:szCs w:val="22"/>
        </w:rPr>
      </w:pPr>
    </w:p>
    <w:p w14:paraId="557210C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3. There are some key details missing from the </w:t>
      </w:r>
      <w:commentRangeStart w:id="67"/>
      <w:r w:rsidRPr="00FB3565">
        <w:rPr>
          <w:rFonts w:ascii="Arial" w:hAnsi="Arial" w:cs="Arial"/>
          <w:color w:val="FF0000"/>
          <w:sz w:val="22"/>
          <w:szCs w:val="22"/>
        </w:rPr>
        <w:t>methods</w:t>
      </w:r>
      <w:commentRangeEnd w:id="67"/>
      <w:r w:rsidR="00AE7DA4" w:rsidRPr="00FB3565">
        <w:rPr>
          <w:rStyle w:val="CommentReference"/>
          <w:rFonts w:ascii="Arial" w:hAnsi="Arial" w:cs="Arial"/>
          <w:sz w:val="22"/>
          <w:szCs w:val="22"/>
        </w:rPr>
        <w:commentReference w:id="67"/>
      </w:r>
      <w:r w:rsidRPr="00FB3565">
        <w:rPr>
          <w:rFonts w:ascii="Arial" w:hAnsi="Arial" w:cs="Arial"/>
          <w:color w:val="FF0000"/>
          <w:sz w:val="22"/>
          <w:szCs w:val="22"/>
        </w:rPr>
        <w:t>:</w:t>
      </w:r>
    </w:p>
    <w:p w14:paraId="13FB76B2"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a. The methods are completely lacking in </w:t>
      </w:r>
      <w:proofErr w:type="gramStart"/>
      <w:r w:rsidRPr="00FB3565">
        <w:rPr>
          <w:rFonts w:ascii="Arial" w:hAnsi="Arial" w:cs="Arial"/>
          <w:sz w:val="22"/>
          <w:szCs w:val="22"/>
        </w:rPr>
        <w:t>details</w:t>
      </w:r>
      <w:proofErr w:type="gramEnd"/>
      <w:r w:rsidRPr="00FB3565">
        <w:rPr>
          <w:rFonts w:ascii="Arial" w:hAnsi="Arial" w:cs="Arial"/>
          <w:sz w:val="22"/>
          <w:szCs w:val="22"/>
        </w:rPr>
        <w:t xml:space="preserve"> about how the brains were handled between collection and library preparation. How were they stored? How were the brain regions of interest dissected? What were the landmarks/coordinates that bounded each brain region?</w:t>
      </w:r>
    </w:p>
    <w:p w14:paraId="3105458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b. Were the RNA-Seq and ATAC-Seq libraries prepared from the same animals (perhaps, one hemisphere for each analysis) or were they prepared from different animals?</w:t>
      </w:r>
    </w:p>
    <w:p w14:paraId="324A4F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c. The authors state that procedures were conducted between 7am and 7pm (line 446), but do not state whether this was the light or the dark.</w:t>
      </w:r>
    </w:p>
    <w:p w14:paraId="67E9DE50"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d. There is very good detail about the bioinformatic approaches taken. One thing that is not quite clear is why the log2 Fold Change </w:t>
      </w:r>
      <w:commentRangeStart w:id="68"/>
      <w:r w:rsidRPr="00FB3565">
        <w:rPr>
          <w:rFonts w:ascii="Arial" w:hAnsi="Arial" w:cs="Arial"/>
          <w:sz w:val="22"/>
          <w:szCs w:val="22"/>
        </w:rPr>
        <w:t>cutoff</w:t>
      </w:r>
      <w:commentRangeEnd w:id="68"/>
      <w:r w:rsidR="003179EA" w:rsidRPr="00FB3565">
        <w:rPr>
          <w:rStyle w:val="CommentReference"/>
          <w:rFonts w:ascii="Arial" w:hAnsi="Arial" w:cs="Arial"/>
          <w:sz w:val="22"/>
          <w:szCs w:val="22"/>
        </w:rPr>
        <w:commentReference w:id="68"/>
      </w:r>
      <w:r w:rsidRPr="00FB3565">
        <w:rPr>
          <w:rFonts w:ascii="Arial" w:hAnsi="Arial" w:cs="Arial"/>
          <w:sz w:val="22"/>
          <w:szCs w:val="22"/>
        </w:rPr>
        <w:t xml:space="preserve"> is different for different analyses (sometimes &gt;1, &gt;1.5). A justification of this cutoff in general would be helpful.</w:t>
      </w:r>
    </w:p>
    <w:p w14:paraId="12029661" w14:textId="6B45A3B7" w:rsidR="004C2E15" w:rsidRDefault="004C2E15" w:rsidP="004C2E15">
      <w:pPr>
        <w:jc w:val="both"/>
        <w:rPr>
          <w:rFonts w:ascii="Arial" w:hAnsi="Arial" w:cs="Arial"/>
          <w:sz w:val="22"/>
          <w:szCs w:val="22"/>
        </w:rPr>
      </w:pPr>
    </w:p>
    <w:p w14:paraId="69A69632" w14:textId="4F32A3E8" w:rsidR="00B96DBE" w:rsidRDefault="004631A5" w:rsidP="004C2E15">
      <w:pPr>
        <w:jc w:val="both"/>
        <w:rPr>
          <w:rFonts w:ascii="Arial" w:hAnsi="Arial" w:cs="Arial"/>
          <w:color w:val="2E74B5" w:themeColor="accent5" w:themeShade="BF"/>
          <w:sz w:val="22"/>
          <w:szCs w:val="22"/>
        </w:rPr>
      </w:pPr>
      <w:bookmarkStart w:id="69" w:name="OLE_LINK51"/>
      <w:bookmarkStart w:id="70" w:name="OLE_LINK52"/>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412DDA" w:rsidRPr="00412DDA">
        <w:rPr>
          <w:rFonts w:ascii="Arial" w:hAnsi="Arial" w:cs="Arial"/>
          <w:color w:val="2E74B5" w:themeColor="accent5" w:themeShade="BF"/>
          <w:sz w:val="22"/>
          <w:szCs w:val="22"/>
        </w:rPr>
        <w:t xml:space="preserve">The methodology </w:t>
      </w:r>
      <w:bookmarkEnd w:id="69"/>
      <w:bookmarkEnd w:id="70"/>
      <w:r w:rsidR="00412DDA" w:rsidRPr="00412DDA">
        <w:rPr>
          <w:rFonts w:ascii="Arial" w:hAnsi="Arial" w:cs="Arial"/>
          <w:color w:val="2E74B5" w:themeColor="accent5" w:themeShade="BF"/>
          <w:sz w:val="22"/>
          <w:szCs w:val="22"/>
        </w:rPr>
        <w:t>details requested by the reviewer are now included in the revised manuscript</w:t>
      </w:r>
      <w:r w:rsidR="00412DDA">
        <w:rPr>
          <w:rFonts w:ascii="Arial" w:hAnsi="Arial" w:cs="Arial"/>
          <w:color w:val="2E74B5" w:themeColor="accent5" w:themeShade="BF"/>
          <w:sz w:val="22"/>
          <w:szCs w:val="22"/>
        </w:rPr>
        <w:t>.</w:t>
      </w:r>
    </w:p>
    <w:p w14:paraId="64C6E78D" w14:textId="704D273E" w:rsidR="00412DDA" w:rsidRDefault="008E7A5F" w:rsidP="00412DDA">
      <w:pPr>
        <w:pStyle w:val="ListParagraph"/>
        <w:numPr>
          <w:ilvl w:val="0"/>
          <w:numId w:val="7"/>
        </w:num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We gave detailed discretion </w:t>
      </w:r>
      <w:r w:rsidR="00BD6A44">
        <w:rPr>
          <w:rFonts w:ascii="Arial" w:hAnsi="Arial" w:cs="Arial"/>
          <w:color w:val="2E74B5" w:themeColor="accent5" w:themeShade="BF"/>
          <w:sz w:val="22"/>
          <w:szCs w:val="22"/>
        </w:rPr>
        <w:t xml:space="preserve">in </w:t>
      </w:r>
      <w:r w:rsidR="00BD6A44" w:rsidRPr="00BD6A44">
        <w:rPr>
          <w:rFonts w:ascii="Arial" w:hAnsi="Arial" w:cs="Arial"/>
          <w:color w:val="2E74B5" w:themeColor="accent5" w:themeShade="BF"/>
          <w:sz w:val="22"/>
          <w:szCs w:val="22"/>
        </w:rPr>
        <w:t xml:space="preserve">methods under “Tissue Collection and </w:t>
      </w:r>
      <w:commentRangeStart w:id="71"/>
      <w:r w:rsidR="00BD6A44" w:rsidRPr="00BD6A44">
        <w:rPr>
          <w:rFonts w:ascii="Arial" w:hAnsi="Arial" w:cs="Arial"/>
          <w:color w:val="2E74B5" w:themeColor="accent5" w:themeShade="BF"/>
          <w:sz w:val="22"/>
          <w:szCs w:val="22"/>
        </w:rPr>
        <w:t>Storage</w:t>
      </w:r>
      <w:commentRangeEnd w:id="71"/>
      <w:r w:rsidR="003D2746">
        <w:rPr>
          <w:rStyle w:val="CommentReference"/>
        </w:rPr>
        <w:commentReference w:id="71"/>
      </w:r>
      <w:r w:rsidR="00BD6A44" w:rsidRPr="00BD6A44">
        <w:rPr>
          <w:rFonts w:ascii="Arial" w:hAnsi="Arial" w:cs="Arial"/>
          <w:color w:val="2E74B5" w:themeColor="accent5" w:themeShade="BF"/>
          <w:sz w:val="22"/>
          <w:szCs w:val="22"/>
        </w:rPr>
        <w:t>”</w:t>
      </w:r>
      <w:r w:rsidR="003D2746">
        <w:rPr>
          <w:rFonts w:ascii="Arial" w:hAnsi="Arial" w:cs="Arial"/>
          <w:color w:val="2E74B5" w:themeColor="accent5" w:themeShade="BF"/>
          <w:sz w:val="22"/>
          <w:szCs w:val="22"/>
        </w:rPr>
        <w:t xml:space="preserve"> and</w:t>
      </w:r>
      <w:r w:rsidR="00DF067F">
        <w:rPr>
          <w:rFonts w:ascii="Arial" w:hAnsi="Arial" w:cs="Arial"/>
          <w:color w:val="2E74B5" w:themeColor="accent5" w:themeShade="BF"/>
          <w:sz w:val="22"/>
          <w:szCs w:val="22"/>
        </w:rPr>
        <w:t xml:space="preserve"> also answered the same question of </w:t>
      </w:r>
      <w:r w:rsidR="003D2746">
        <w:rPr>
          <w:rFonts w:ascii="Arial" w:hAnsi="Arial" w:cs="Arial"/>
          <w:color w:val="2E74B5" w:themeColor="accent5" w:themeShade="BF"/>
          <w:sz w:val="22"/>
          <w:szCs w:val="22"/>
        </w:rPr>
        <w:t>reviewer 2</w:t>
      </w:r>
      <w:r w:rsidR="00BD6A44" w:rsidRPr="00BD6A44">
        <w:rPr>
          <w:rFonts w:ascii="Arial" w:hAnsi="Arial" w:cs="Arial"/>
          <w:color w:val="2E74B5" w:themeColor="accent5" w:themeShade="BF"/>
          <w:sz w:val="22"/>
          <w:szCs w:val="22"/>
        </w:rPr>
        <w:t>.</w:t>
      </w:r>
    </w:p>
    <w:p w14:paraId="5AE76218" w14:textId="293E9B7C" w:rsidR="003D2746" w:rsidRDefault="005B1474" w:rsidP="00412DDA">
      <w:pPr>
        <w:pStyle w:val="ListParagraph"/>
        <w:numPr>
          <w:ilvl w:val="0"/>
          <w:numId w:val="7"/>
        </w:numPr>
        <w:jc w:val="both"/>
        <w:rPr>
          <w:rFonts w:ascii="Arial" w:hAnsi="Arial" w:cs="Arial"/>
          <w:color w:val="2E74B5" w:themeColor="accent5" w:themeShade="BF"/>
          <w:sz w:val="22"/>
          <w:szCs w:val="22"/>
        </w:rPr>
      </w:pPr>
      <w:r w:rsidRPr="005B1474">
        <w:rPr>
          <w:rFonts w:ascii="Arial" w:hAnsi="Arial" w:cs="Arial"/>
          <w:color w:val="2E74B5" w:themeColor="accent5" w:themeShade="BF"/>
          <w:sz w:val="22"/>
          <w:szCs w:val="22"/>
        </w:rPr>
        <w:t>The RNA-</w:t>
      </w:r>
      <w:proofErr w:type="spellStart"/>
      <w:r w:rsidRPr="005B1474">
        <w:rPr>
          <w:rFonts w:ascii="Arial" w:hAnsi="Arial" w:cs="Arial"/>
          <w:color w:val="2E74B5" w:themeColor="accent5" w:themeShade="BF"/>
          <w:sz w:val="22"/>
          <w:szCs w:val="22"/>
        </w:rPr>
        <w:t>Seq</w:t>
      </w:r>
      <w:proofErr w:type="spellEnd"/>
      <w:r w:rsidRPr="005B1474">
        <w:rPr>
          <w:rFonts w:ascii="Arial" w:hAnsi="Arial" w:cs="Arial"/>
          <w:color w:val="2E74B5" w:themeColor="accent5" w:themeShade="BF"/>
          <w:sz w:val="22"/>
          <w:szCs w:val="22"/>
        </w:rPr>
        <w:t xml:space="preserve"> and ATAC-</w:t>
      </w:r>
      <w:proofErr w:type="spellStart"/>
      <w:r w:rsidRPr="005B1474">
        <w:rPr>
          <w:rFonts w:ascii="Arial" w:hAnsi="Arial" w:cs="Arial"/>
          <w:color w:val="2E74B5" w:themeColor="accent5" w:themeShade="BF"/>
          <w:sz w:val="22"/>
          <w:szCs w:val="22"/>
        </w:rPr>
        <w:t>Seq</w:t>
      </w:r>
      <w:proofErr w:type="spellEnd"/>
      <w:r w:rsidRPr="005B1474">
        <w:rPr>
          <w:rFonts w:ascii="Arial" w:hAnsi="Arial" w:cs="Arial"/>
          <w:color w:val="2E74B5" w:themeColor="accent5" w:themeShade="BF"/>
          <w:sz w:val="22"/>
          <w:szCs w:val="22"/>
        </w:rPr>
        <w:t xml:space="preserve"> libraries were prepared from the same animal, </w:t>
      </w:r>
      <w:r>
        <w:rPr>
          <w:rFonts w:ascii="Arial" w:hAnsi="Arial" w:cs="Arial"/>
          <w:color w:val="2E74B5" w:themeColor="accent5" w:themeShade="BF"/>
          <w:sz w:val="22"/>
          <w:szCs w:val="22"/>
        </w:rPr>
        <w:t>RNA-</w:t>
      </w:r>
      <w:proofErr w:type="spellStart"/>
      <w:r>
        <w:rPr>
          <w:rFonts w:ascii="Arial" w:hAnsi="Arial" w:cs="Arial"/>
          <w:color w:val="2E74B5" w:themeColor="accent5" w:themeShade="BF"/>
          <w:sz w:val="22"/>
          <w:szCs w:val="22"/>
        </w:rPr>
        <w:t>seq</w:t>
      </w:r>
      <w:proofErr w:type="spellEnd"/>
      <w:r>
        <w:rPr>
          <w:rFonts w:ascii="Arial" w:hAnsi="Arial" w:cs="Arial"/>
          <w:color w:val="2E74B5" w:themeColor="accent5" w:themeShade="BF"/>
          <w:sz w:val="22"/>
          <w:szCs w:val="22"/>
        </w:rPr>
        <w:t xml:space="preserve"> from </w:t>
      </w:r>
      <w:r w:rsidRPr="005B1474">
        <w:rPr>
          <w:rFonts w:ascii="Arial" w:hAnsi="Arial" w:cs="Arial"/>
          <w:color w:val="2E74B5" w:themeColor="accent5" w:themeShade="BF"/>
          <w:sz w:val="22"/>
          <w:szCs w:val="22"/>
        </w:rPr>
        <w:t>one hemisphere piece and the other hemisphere piece</w:t>
      </w:r>
      <w:r>
        <w:rPr>
          <w:rFonts w:ascii="Arial" w:hAnsi="Arial" w:cs="Arial"/>
          <w:color w:val="2E74B5" w:themeColor="accent5" w:themeShade="BF"/>
          <w:sz w:val="22"/>
          <w:szCs w:val="22"/>
        </w:rPr>
        <w:t xml:space="preserve"> for ATAC-seq</w:t>
      </w:r>
      <w:r w:rsidRPr="005B1474">
        <w:rPr>
          <w:rFonts w:ascii="Arial" w:hAnsi="Arial" w:cs="Arial"/>
          <w:color w:val="2E74B5" w:themeColor="accent5" w:themeShade="BF"/>
          <w:sz w:val="22"/>
          <w:szCs w:val="22"/>
        </w:rPr>
        <w:t>.</w:t>
      </w:r>
    </w:p>
    <w:p w14:paraId="61DFBAAA" w14:textId="21BBA39A" w:rsidR="005B1474" w:rsidRDefault="005B1474" w:rsidP="00412DDA">
      <w:pPr>
        <w:pStyle w:val="ListParagraph"/>
        <w:numPr>
          <w:ilvl w:val="0"/>
          <w:numId w:val="7"/>
        </w:numPr>
        <w:jc w:val="both"/>
        <w:rPr>
          <w:rFonts w:ascii="Arial" w:hAnsi="Arial" w:cs="Arial"/>
          <w:color w:val="2E74B5" w:themeColor="accent5" w:themeShade="BF"/>
          <w:sz w:val="22"/>
          <w:szCs w:val="22"/>
        </w:rPr>
      </w:pPr>
      <w:r w:rsidRPr="005B1474">
        <w:rPr>
          <w:rFonts w:ascii="Arial" w:hAnsi="Arial" w:cs="Arial"/>
          <w:color w:val="2E74B5" w:themeColor="accent5" w:themeShade="BF"/>
          <w:sz w:val="22"/>
          <w:szCs w:val="22"/>
        </w:rPr>
        <w:t>The procedures were conducted during the light cycle.</w:t>
      </w:r>
    </w:p>
    <w:p w14:paraId="3680101B" w14:textId="6F124273" w:rsidR="005B1474" w:rsidRPr="007D41FA" w:rsidRDefault="007D41FA" w:rsidP="007D41FA">
      <w:pPr>
        <w:pStyle w:val="ListParagraph"/>
        <w:numPr>
          <w:ilvl w:val="0"/>
          <w:numId w:val="7"/>
        </w:numPr>
        <w:jc w:val="both"/>
        <w:rPr>
          <w:rFonts w:ascii="Arial" w:hAnsi="Arial" w:cs="Arial"/>
          <w:color w:val="2E74B5" w:themeColor="accent5" w:themeShade="BF"/>
          <w:sz w:val="22"/>
          <w:szCs w:val="22"/>
        </w:rPr>
      </w:pPr>
      <w:r>
        <w:rPr>
          <w:rFonts w:ascii="Arial" w:hAnsi="Arial" w:cs="Arial"/>
          <w:color w:val="2E74B5" w:themeColor="accent5" w:themeShade="BF"/>
          <w:sz w:val="22"/>
          <w:szCs w:val="22"/>
        </w:rPr>
        <w:t>This is the same as question 3 of reviewer2. In our study, we used different cutoff for differential analysis of RNA-</w:t>
      </w:r>
      <w:proofErr w:type="spellStart"/>
      <w:r>
        <w:rPr>
          <w:rFonts w:ascii="Arial" w:hAnsi="Arial" w:cs="Arial"/>
          <w:color w:val="2E74B5" w:themeColor="accent5" w:themeShade="BF"/>
          <w:sz w:val="22"/>
          <w:szCs w:val="22"/>
        </w:rPr>
        <w:t>seq</w:t>
      </w:r>
      <w:proofErr w:type="spellEnd"/>
      <w:r>
        <w:rPr>
          <w:rFonts w:ascii="Arial" w:hAnsi="Arial" w:cs="Arial"/>
          <w:color w:val="2E74B5" w:themeColor="accent5" w:themeShade="BF"/>
          <w:sz w:val="22"/>
          <w:szCs w:val="22"/>
        </w:rPr>
        <w:t xml:space="preserve"> and ATAC-seq.</w:t>
      </w:r>
      <w:r w:rsidRPr="007D41FA">
        <w:t xml:space="preserve"> </w:t>
      </w:r>
      <w:r w:rsidRPr="007D41FA">
        <w:rPr>
          <w:rFonts w:ascii="Arial" w:hAnsi="Arial" w:cs="Arial"/>
          <w:color w:val="2E74B5" w:themeColor="accent5" w:themeShade="BF"/>
          <w:sz w:val="22"/>
          <w:szCs w:val="22"/>
        </w:rPr>
        <w:t>ATAC-</w:t>
      </w:r>
      <w:proofErr w:type="spellStart"/>
      <w:r w:rsidRPr="007D41FA">
        <w:rPr>
          <w:rFonts w:ascii="Arial" w:hAnsi="Arial" w:cs="Arial"/>
          <w:color w:val="2E74B5" w:themeColor="accent5" w:themeShade="BF"/>
          <w:sz w:val="22"/>
          <w:szCs w:val="22"/>
        </w:rPr>
        <w:t>seq</w:t>
      </w:r>
      <w:proofErr w:type="spellEnd"/>
      <w:r w:rsidRPr="007D41FA">
        <w:rPr>
          <w:rFonts w:ascii="Arial" w:hAnsi="Arial" w:cs="Arial"/>
          <w:color w:val="2E74B5" w:themeColor="accent5" w:themeShade="BF"/>
          <w:sz w:val="22"/>
          <w:szCs w:val="22"/>
        </w:rPr>
        <w:t xml:space="preserve"> data </w:t>
      </w:r>
      <w:r>
        <w:rPr>
          <w:rFonts w:ascii="Arial" w:hAnsi="Arial" w:cs="Arial"/>
          <w:color w:val="2E74B5" w:themeColor="accent5" w:themeShade="BF"/>
          <w:sz w:val="22"/>
          <w:szCs w:val="22"/>
        </w:rPr>
        <w:t xml:space="preserve">showed distinct signal </w:t>
      </w:r>
      <w:r w:rsidRPr="007D41FA">
        <w:rPr>
          <w:rFonts w:ascii="Arial" w:hAnsi="Arial" w:cs="Arial"/>
          <w:color w:val="2E74B5" w:themeColor="accent5" w:themeShade="BF"/>
          <w:sz w:val="22"/>
          <w:szCs w:val="22"/>
        </w:rPr>
        <w:t>distribution from RNA-</w:t>
      </w:r>
      <w:proofErr w:type="spellStart"/>
      <w:r w:rsidRPr="007D41FA">
        <w:rPr>
          <w:rFonts w:ascii="Arial" w:hAnsi="Arial" w:cs="Arial"/>
          <w:color w:val="2E74B5" w:themeColor="accent5" w:themeShade="BF"/>
          <w:sz w:val="22"/>
          <w:szCs w:val="22"/>
        </w:rPr>
        <w:t>seq</w:t>
      </w:r>
      <w:proofErr w:type="spellEnd"/>
      <w:r w:rsidRPr="007D41FA">
        <w:rPr>
          <w:rFonts w:ascii="Arial" w:hAnsi="Arial" w:cs="Arial"/>
          <w:color w:val="2E74B5" w:themeColor="accent5" w:themeShade="BF"/>
          <w:sz w:val="22"/>
          <w:szCs w:val="22"/>
        </w:rPr>
        <w:t xml:space="preserve"> data (ref). The open chromatin regions (OCRs) had low ATAC signals comparing to the expression distribution of genes. Meanwhile, </w:t>
      </w:r>
      <w:r>
        <w:rPr>
          <w:rFonts w:ascii="Arial" w:hAnsi="Arial" w:cs="Arial"/>
          <w:color w:val="2E74B5" w:themeColor="accent5" w:themeShade="BF"/>
          <w:sz w:val="22"/>
          <w:szCs w:val="22"/>
        </w:rPr>
        <w:t>the</w:t>
      </w:r>
      <w:r w:rsidRPr="007D41FA">
        <w:rPr>
          <w:rFonts w:ascii="Arial" w:hAnsi="Arial" w:cs="Arial"/>
          <w:color w:val="2E74B5" w:themeColor="accent5" w:themeShade="BF"/>
          <w:sz w:val="22"/>
          <w:szCs w:val="22"/>
        </w:rPr>
        <w:t xml:space="preserve"> total OCRs used for </w:t>
      </w:r>
      <w:r>
        <w:rPr>
          <w:rFonts w:ascii="Arial" w:hAnsi="Arial" w:cs="Arial"/>
          <w:color w:val="2E74B5" w:themeColor="accent5" w:themeShade="BF"/>
          <w:sz w:val="22"/>
          <w:szCs w:val="22"/>
        </w:rPr>
        <w:t>DAR</w:t>
      </w:r>
      <w:r w:rsidRPr="007D41FA">
        <w:rPr>
          <w:rFonts w:ascii="Arial" w:hAnsi="Arial" w:cs="Arial"/>
          <w:color w:val="2E74B5" w:themeColor="accent5" w:themeShade="BF"/>
          <w:sz w:val="22"/>
          <w:szCs w:val="22"/>
        </w:rPr>
        <w:t xml:space="preserve"> analysis were about seventy thousand, five times larger than the total number of expressed genes used for DEG analysis that was about fourteen thousand. So, in our analysis, we lowered down the foldchange to identify more DARs with low ATAC-</w:t>
      </w:r>
      <w:proofErr w:type="spellStart"/>
      <w:r w:rsidRPr="007D41FA">
        <w:rPr>
          <w:rFonts w:ascii="Arial" w:hAnsi="Arial" w:cs="Arial"/>
          <w:color w:val="2E74B5" w:themeColor="accent5" w:themeShade="BF"/>
          <w:sz w:val="22"/>
          <w:szCs w:val="22"/>
        </w:rPr>
        <w:t>seq</w:t>
      </w:r>
      <w:proofErr w:type="spellEnd"/>
      <w:r w:rsidRPr="007D41FA">
        <w:rPr>
          <w:rFonts w:ascii="Arial" w:hAnsi="Arial" w:cs="Arial"/>
          <w:color w:val="2E74B5" w:themeColor="accent5" w:themeShade="BF"/>
          <w:sz w:val="22"/>
          <w:szCs w:val="22"/>
        </w:rPr>
        <w:t xml:space="preserve"> signals and used more stringent FDR to avoid the false positive results.</w:t>
      </w:r>
    </w:p>
    <w:p w14:paraId="73015440" w14:textId="77777777" w:rsidR="004631A5" w:rsidRDefault="004631A5" w:rsidP="004C2E15">
      <w:pPr>
        <w:jc w:val="both"/>
        <w:rPr>
          <w:rFonts w:ascii="Arial" w:hAnsi="Arial" w:cs="Arial"/>
          <w:sz w:val="22"/>
          <w:szCs w:val="22"/>
        </w:rPr>
      </w:pPr>
    </w:p>
    <w:p w14:paraId="5194AFD4" w14:textId="77777777" w:rsidR="00B96DBE" w:rsidRPr="00FB3565" w:rsidRDefault="00B96DBE" w:rsidP="004C2E15">
      <w:pPr>
        <w:jc w:val="both"/>
        <w:rPr>
          <w:rFonts w:ascii="Arial" w:hAnsi="Arial" w:cs="Arial"/>
          <w:sz w:val="22"/>
          <w:szCs w:val="22"/>
        </w:rPr>
      </w:pPr>
    </w:p>
    <w:p w14:paraId="084FCF9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4.There is currently no description of what kind of controls were employed to </w:t>
      </w:r>
      <w:bookmarkStart w:id="72" w:name="OLE_LINK20"/>
      <w:bookmarkStart w:id="73" w:name="OLE_LINK21"/>
      <w:r w:rsidRPr="00FB3565">
        <w:rPr>
          <w:rFonts w:ascii="Arial" w:hAnsi="Arial" w:cs="Arial"/>
          <w:sz w:val="22"/>
          <w:szCs w:val="22"/>
        </w:rPr>
        <w:t xml:space="preserve">mitigate </w:t>
      </w:r>
      <w:bookmarkEnd w:id="72"/>
      <w:bookmarkEnd w:id="73"/>
      <w:r w:rsidRPr="00FB3565">
        <w:rPr>
          <w:rFonts w:ascii="Arial" w:hAnsi="Arial" w:cs="Arial"/>
          <w:sz w:val="22"/>
          <w:szCs w:val="22"/>
        </w:rPr>
        <w:t xml:space="preserve">batch effects. For example, were all the brain regions processed in separate batches, or were they processed in parallel (i.e. – some samples from each brain region processed together on each day; some </w:t>
      </w:r>
      <w:r w:rsidRPr="00FB3565">
        <w:rPr>
          <w:rFonts w:ascii="Arial" w:hAnsi="Arial" w:cs="Arial"/>
          <w:sz w:val="22"/>
          <w:szCs w:val="22"/>
        </w:rPr>
        <w:lastRenderedPageBreak/>
        <w:t xml:space="preserve">samples from each brain region run on the same flow cell). This is very important, as all of the brain-region specific findings could be confounded by </w:t>
      </w:r>
      <w:commentRangeStart w:id="74"/>
      <w:r w:rsidRPr="00FB3565">
        <w:rPr>
          <w:rFonts w:ascii="Arial" w:hAnsi="Arial" w:cs="Arial"/>
          <w:sz w:val="22"/>
          <w:szCs w:val="22"/>
        </w:rPr>
        <w:t xml:space="preserve">simple batch </w:t>
      </w:r>
      <w:commentRangeStart w:id="75"/>
      <w:r w:rsidRPr="00FB3565">
        <w:rPr>
          <w:rFonts w:ascii="Arial" w:hAnsi="Arial" w:cs="Arial"/>
          <w:sz w:val="22"/>
          <w:szCs w:val="22"/>
        </w:rPr>
        <w:t>effects</w:t>
      </w:r>
      <w:commentRangeEnd w:id="74"/>
      <w:r w:rsidR="004D7EBD" w:rsidRPr="00FB3565">
        <w:rPr>
          <w:rStyle w:val="CommentReference"/>
          <w:rFonts w:ascii="Arial" w:hAnsi="Arial" w:cs="Arial"/>
          <w:sz w:val="22"/>
          <w:szCs w:val="22"/>
        </w:rPr>
        <w:commentReference w:id="74"/>
      </w:r>
      <w:commentRangeEnd w:id="75"/>
      <w:r w:rsidR="003928E3">
        <w:rPr>
          <w:rStyle w:val="CommentReference"/>
        </w:rPr>
        <w:commentReference w:id="75"/>
      </w:r>
      <w:r w:rsidRPr="00FB3565">
        <w:rPr>
          <w:rFonts w:ascii="Arial" w:hAnsi="Arial" w:cs="Arial"/>
          <w:sz w:val="22"/>
          <w:szCs w:val="22"/>
        </w:rPr>
        <w:t>.</w:t>
      </w:r>
    </w:p>
    <w:p w14:paraId="78DCCC11" w14:textId="3542EE40" w:rsidR="004C2E15" w:rsidRDefault="004C2E15" w:rsidP="004C2E15">
      <w:pPr>
        <w:jc w:val="both"/>
        <w:rPr>
          <w:rFonts w:ascii="Arial" w:hAnsi="Arial" w:cs="Arial"/>
          <w:sz w:val="22"/>
          <w:szCs w:val="22"/>
        </w:rPr>
      </w:pPr>
    </w:p>
    <w:p w14:paraId="19A8C9E5" w14:textId="05BCA2B3" w:rsidR="003928E3" w:rsidRDefault="003928E3" w:rsidP="004C2E15">
      <w:pPr>
        <w:jc w:val="both"/>
        <w:rPr>
          <w:rFonts w:ascii="Arial" w:hAnsi="Arial" w:cs="Arial"/>
          <w:color w:val="2E74B5" w:themeColor="accent5" w:themeShade="BF"/>
          <w:sz w:val="22"/>
          <w:szCs w:val="22"/>
        </w:rPr>
      </w:pPr>
      <w:bookmarkStart w:id="76" w:name="OLE_LINK53"/>
      <w:bookmarkStart w:id="77" w:name="OLE_LINK54"/>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p>
    <w:bookmarkEnd w:id="76"/>
    <w:bookmarkEnd w:id="77"/>
    <w:p w14:paraId="6EA88367" w14:textId="77777777" w:rsidR="00244E01" w:rsidRDefault="00244E01" w:rsidP="004C2E15">
      <w:pPr>
        <w:jc w:val="both"/>
        <w:rPr>
          <w:rFonts w:ascii="Arial" w:hAnsi="Arial" w:cs="Arial"/>
          <w:color w:val="2E74B5" w:themeColor="accent5" w:themeShade="BF"/>
          <w:sz w:val="22"/>
          <w:szCs w:val="22"/>
        </w:rPr>
      </w:pPr>
    </w:p>
    <w:p w14:paraId="4ED3997A" w14:textId="346A576B" w:rsidR="003928E3" w:rsidRDefault="003928E3" w:rsidP="004C2E15">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First, show the experiment detail about how to avoid the batch effect.</w:t>
      </w:r>
    </w:p>
    <w:p w14:paraId="79F12D78" w14:textId="77777777" w:rsidR="00244E01" w:rsidRDefault="00244E01" w:rsidP="004C2E15">
      <w:pPr>
        <w:jc w:val="both"/>
        <w:rPr>
          <w:rFonts w:ascii="Arial" w:hAnsi="Arial" w:cs="Arial"/>
          <w:color w:val="2E74B5" w:themeColor="accent5" w:themeShade="BF"/>
          <w:sz w:val="22"/>
          <w:szCs w:val="22"/>
        </w:rPr>
      </w:pPr>
    </w:p>
    <w:p w14:paraId="40BA146E" w14:textId="194093F2" w:rsidR="003928E3" w:rsidRPr="003928E3" w:rsidRDefault="003928E3" w:rsidP="004C2E15">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Second, to further reduce the affection of batch effect during experiment, </w:t>
      </w:r>
      <w:r w:rsidR="0062272E">
        <w:rPr>
          <w:rFonts w:ascii="Arial" w:hAnsi="Arial" w:cs="Arial"/>
          <w:color w:val="2E74B5" w:themeColor="accent5" w:themeShade="BF"/>
          <w:sz w:val="22"/>
          <w:szCs w:val="22"/>
        </w:rPr>
        <w:t xml:space="preserve">before the DEG and DAR analysis, the gene expression and OCR signals from </w:t>
      </w:r>
      <w:r w:rsidR="005936A7">
        <w:rPr>
          <w:rFonts w:ascii="Arial" w:hAnsi="Arial" w:cs="Arial" w:hint="eastAsia"/>
          <w:color w:val="2E74B5" w:themeColor="accent5" w:themeShade="BF"/>
          <w:sz w:val="22"/>
          <w:szCs w:val="22"/>
        </w:rPr>
        <w:t>METH</w:t>
      </w:r>
      <w:r w:rsidR="005936A7">
        <w:rPr>
          <w:rFonts w:ascii="Arial" w:hAnsi="Arial" w:cs="Arial"/>
          <w:color w:val="2E74B5" w:themeColor="accent5" w:themeShade="BF"/>
          <w:sz w:val="22"/>
          <w:szCs w:val="22"/>
        </w:rPr>
        <w:t xml:space="preserve"> and saline</w:t>
      </w:r>
      <w:r w:rsidR="0062272E">
        <w:rPr>
          <w:rFonts w:ascii="Arial" w:hAnsi="Arial" w:cs="Arial"/>
          <w:color w:val="2E74B5" w:themeColor="accent5" w:themeShade="BF"/>
          <w:sz w:val="22"/>
          <w:szCs w:val="22"/>
        </w:rPr>
        <w:t xml:space="preserve"> samples were processed by</w:t>
      </w:r>
      <w:r>
        <w:rPr>
          <w:rFonts w:ascii="Arial" w:hAnsi="Arial" w:cs="Arial"/>
          <w:color w:val="2E74B5" w:themeColor="accent5" w:themeShade="BF"/>
          <w:sz w:val="22"/>
          <w:szCs w:val="22"/>
        </w:rPr>
        <w:t xml:space="preserve"> </w:t>
      </w:r>
      <w:proofErr w:type="spellStart"/>
      <w:r>
        <w:rPr>
          <w:rFonts w:ascii="Arial" w:hAnsi="Arial" w:cs="Arial"/>
          <w:color w:val="2E74B5" w:themeColor="accent5" w:themeShade="BF"/>
          <w:sz w:val="22"/>
          <w:szCs w:val="22"/>
        </w:rPr>
        <w:t>RUVr</w:t>
      </w:r>
      <w:proofErr w:type="spellEnd"/>
      <w:r>
        <w:rPr>
          <w:rFonts w:ascii="Arial" w:hAnsi="Arial" w:cs="Arial"/>
          <w:color w:val="2E74B5" w:themeColor="accent5" w:themeShade="BF"/>
          <w:sz w:val="22"/>
          <w:szCs w:val="22"/>
        </w:rPr>
        <w:t xml:space="preserve"> method that r</w:t>
      </w:r>
      <w:r w:rsidRPr="003928E3">
        <w:rPr>
          <w:rFonts w:ascii="Arial" w:hAnsi="Arial" w:cs="Arial"/>
          <w:color w:val="2E74B5" w:themeColor="accent5" w:themeShade="BF"/>
          <w:sz w:val="22"/>
          <w:szCs w:val="22"/>
        </w:rPr>
        <w:t>emove</w:t>
      </w:r>
      <w:r w:rsidR="0062272E">
        <w:rPr>
          <w:rFonts w:ascii="Arial" w:hAnsi="Arial" w:cs="Arial"/>
          <w:color w:val="2E74B5" w:themeColor="accent5" w:themeShade="BF"/>
          <w:sz w:val="22"/>
          <w:szCs w:val="22"/>
        </w:rPr>
        <w:t>d</w:t>
      </w:r>
      <w:r w:rsidRPr="003928E3">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u</w:t>
      </w:r>
      <w:r w:rsidRPr="003928E3">
        <w:rPr>
          <w:rFonts w:ascii="Arial" w:hAnsi="Arial" w:cs="Arial"/>
          <w:color w:val="2E74B5" w:themeColor="accent5" w:themeShade="BF"/>
          <w:sz w:val="22"/>
          <w:szCs w:val="22"/>
        </w:rPr>
        <w:t xml:space="preserve">nwanted </w:t>
      </w:r>
      <w:r>
        <w:rPr>
          <w:rFonts w:ascii="Arial" w:hAnsi="Arial" w:cs="Arial"/>
          <w:color w:val="2E74B5" w:themeColor="accent5" w:themeShade="BF"/>
          <w:sz w:val="22"/>
          <w:szCs w:val="22"/>
        </w:rPr>
        <w:t>v</w:t>
      </w:r>
      <w:r w:rsidRPr="003928E3">
        <w:rPr>
          <w:rFonts w:ascii="Arial" w:hAnsi="Arial" w:cs="Arial"/>
          <w:color w:val="2E74B5" w:themeColor="accent5" w:themeShade="BF"/>
          <w:sz w:val="22"/>
          <w:szCs w:val="22"/>
        </w:rPr>
        <w:t>ariation</w:t>
      </w:r>
      <w:r>
        <w:rPr>
          <w:rFonts w:ascii="Arial" w:hAnsi="Arial" w:cs="Arial"/>
          <w:color w:val="2E74B5" w:themeColor="accent5" w:themeShade="BF"/>
          <w:sz w:val="22"/>
          <w:szCs w:val="22"/>
        </w:rPr>
        <w:t xml:space="preserve">, </w:t>
      </w:r>
      <w:r w:rsidRPr="003928E3">
        <w:rPr>
          <w:rFonts w:ascii="Arial" w:hAnsi="Arial" w:cs="Arial"/>
          <w:color w:val="2E74B5" w:themeColor="accent5" w:themeShade="BF"/>
          <w:sz w:val="22"/>
          <w:szCs w:val="22"/>
        </w:rPr>
        <w:t>e.g., batch, library preparation, and other nuisance effects</w:t>
      </w:r>
      <w:r>
        <w:rPr>
          <w:rFonts w:ascii="Arial" w:hAnsi="Arial" w:cs="Arial"/>
          <w:color w:val="2E74B5" w:themeColor="accent5" w:themeShade="BF"/>
          <w:sz w:val="22"/>
          <w:szCs w:val="22"/>
        </w:rPr>
        <w:t xml:space="preserve">, using </w:t>
      </w:r>
      <w:r w:rsidR="0062272E" w:rsidRPr="0062272E">
        <w:rPr>
          <w:rFonts w:ascii="Arial" w:hAnsi="Arial" w:cs="Arial"/>
          <w:color w:val="2E74B5" w:themeColor="accent5" w:themeShade="BF"/>
          <w:sz w:val="22"/>
          <w:szCs w:val="22"/>
        </w:rPr>
        <w:t>the between-sample normalization methods</w:t>
      </w:r>
      <w:r w:rsidR="0062272E">
        <w:rPr>
          <w:rFonts w:ascii="Arial" w:hAnsi="Arial" w:cs="Arial"/>
          <w:color w:val="2E74B5" w:themeColor="accent5" w:themeShade="BF"/>
          <w:sz w:val="22"/>
          <w:szCs w:val="22"/>
        </w:rPr>
        <w:t>.</w:t>
      </w:r>
    </w:p>
    <w:p w14:paraId="2922640D" w14:textId="77777777" w:rsidR="003928E3" w:rsidRPr="00FB3565" w:rsidRDefault="003928E3" w:rsidP="004C2E15">
      <w:pPr>
        <w:jc w:val="both"/>
        <w:rPr>
          <w:rFonts w:ascii="Arial" w:hAnsi="Arial" w:cs="Arial"/>
          <w:sz w:val="22"/>
          <w:szCs w:val="22"/>
        </w:rPr>
      </w:pPr>
    </w:p>
    <w:p w14:paraId="498DA90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5. While there are many interesting and informative bioinformatic approaches taken with the data, it seems a missed opportunity that there is not an attempt to more directly tie </w:t>
      </w:r>
      <w:commentRangeStart w:id="78"/>
      <w:r w:rsidRPr="00FB3565">
        <w:rPr>
          <w:rFonts w:ascii="Arial" w:hAnsi="Arial" w:cs="Arial"/>
          <w:sz w:val="22"/>
          <w:szCs w:val="22"/>
        </w:rPr>
        <w:t>together the transcriptomic and chromatin findings</w:t>
      </w:r>
      <w:commentRangeEnd w:id="78"/>
      <w:r w:rsidR="004D7EBD" w:rsidRPr="00FB3565">
        <w:rPr>
          <w:rStyle w:val="CommentReference"/>
          <w:rFonts w:ascii="Arial" w:hAnsi="Arial" w:cs="Arial"/>
          <w:sz w:val="22"/>
          <w:szCs w:val="22"/>
        </w:rPr>
        <w:commentReference w:id="78"/>
      </w:r>
      <w:r w:rsidRPr="00FB3565">
        <w:rPr>
          <w:rFonts w:ascii="Arial" w:hAnsi="Arial" w:cs="Arial"/>
          <w:sz w:val="22"/>
          <w:szCs w:val="22"/>
        </w:rPr>
        <w:t xml:space="preserve">. Based on the chromatin findings (the sites that either become more or less accessible), do the changes in the transcriptome mirror that? (i.e. – if the chromatin opened for gene </w:t>
      </w:r>
      <w:proofErr w:type="spellStart"/>
      <w:r w:rsidRPr="00FB3565">
        <w:rPr>
          <w:rFonts w:ascii="Arial" w:hAnsi="Arial" w:cs="Arial"/>
          <w:sz w:val="22"/>
          <w:szCs w:val="22"/>
        </w:rPr>
        <w:t>Xyz</w:t>
      </w:r>
      <w:proofErr w:type="spellEnd"/>
      <w:r w:rsidRPr="00FB3565">
        <w:rPr>
          <w:rFonts w:ascii="Arial" w:hAnsi="Arial" w:cs="Arial"/>
          <w:sz w:val="22"/>
          <w:szCs w:val="22"/>
        </w:rPr>
        <w:t xml:space="preserve">, did expression of gene </w:t>
      </w:r>
      <w:proofErr w:type="spellStart"/>
      <w:r w:rsidRPr="00FB3565">
        <w:rPr>
          <w:rFonts w:ascii="Arial" w:hAnsi="Arial" w:cs="Arial"/>
          <w:sz w:val="22"/>
          <w:szCs w:val="22"/>
        </w:rPr>
        <w:t>Xyz</w:t>
      </w:r>
      <w:proofErr w:type="spellEnd"/>
      <w:r w:rsidRPr="00FB3565">
        <w:rPr>
          <w:rFonts w:ascii="Arial" w:hAnsi="Arial" w:cs="Arial"/>
          <w:sz w:val="22"/>
          <w:szCs w:val="22"/>
        </w:rPr>
        <w:t xml:space="preserve"> increase in the RNA-seq dataset?). This is one of the promises of multi-</w:t>
      </w:r>
      <w:proofErr w:type="spellStart"/>
      <w:r w:rsidRPr="00FB3565">
        <w:rPr>
          <w:rFonts w:ascii="Arial" w:hAnsi="Arial" w:cs="Arial"/>
          <w:sz w:val="22"/>
          <w:szCs w:val="22"/>
        </w:rPr>
        <w:t>omic</w:t>
      </w:r>
      <w:proofErr w:type="spellEnd"/>
      <w:r w:rsidRPr="00FB3565">
        <w:rPr>
          <w:rFonts w:ascii="Arial" w:hAnsi="Arial" w:cs="Arial"/>
          <w:sz w:val="22"/>
          <w:szCs w:val="22"/>
        </w:rPr>
        <w:t xml:space="preserve"> analysis and is a bit untapped in the current analysis.</w:t>
      </w:r>
    </w:p>
    <w:p w14:paraId="5A9B41BF" w14:textId="4701834E" w:rsidR="004C2E15" w:rsidRDefault="004C2E15" w:rsidP="004C2E15">
      <w:pPr>
        <w:jc w:val="both"/>
        <w:rPr>
          <w:rFonts w:ascii="Arial" w:hAnsi="Arial" w:cs="Arial"/>
          <w:sz w:val="22"/>
          <w:szCs w:val="22"/>
        </w:rPr>
      </w:pPr>
    </w:p>
    <w:p w14:paraId="20171CD5" w14:textId="32CBC8ED" w:rsidR="00524F63" w:rsidRPr="005936A7" w:rsidRDefault="00524F63" w:rsidP="004C2E15">
      <w:pPr>
        <w:jc w:val="both"/>
        <w:rPr>
          <w:rFonts w:ascii="Arial" w:hAnsi="Arial" w:cs="Arial"/>
          <w:color w:val="C00000"/>
          <w:sz w:val="22"/>
          <w:szCs w:val="22"/>
        </w:rPr>
      </w:pPr>
      <w:r w:rsidRPr="005936A7">
        <w:rPr>
          <w:rFonts w:ascii="Arial" w:hAnsi="Arial" w:cs="Arial"/>
          <w:color w:val="C00000"/>
          <w:sz w:val="22"/>
          <w:szCs w:val="22"/>
        </w:rPr>
        <w:t>Integrative analysis</w:t>
      </w:r>
    </w:p>
    <w:p w14:paraId="411AD48C" w14:textId="77777777" w:rsidR="00524F63" w:rsidRPr="00FB3565" w:rsidRDefault="00524F63" w:rsidP="004C2E15">
      <w:pPr>
        <w:jc w:val="both"/>
        <w:rPr>
          <w:rFonts w:ascii="Arial" w:hAnsi="Arial" w:cs="Arial"/>
          <w:sz w:val="22"/>
          <w:szCs w:val="22"/>
        </w:rPr>
      </w:pPr>
    </w:p>
    <w:p w14:paraId="1136170E"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6. The results section can be a bit overwhelming at times. There are many comparisons that are described in the text, which might be better to have in a </w:t>
      </w:r>
      <w:commentRangeStart w:id="79"/>
      <w:r w:rsidRPr="00FB3565">
        <w:rPr>
          <w:rFonts w:ascii="Arial" w:hAnsi="Arial" w:cs="Arial"/>
          <w:sz w:val="22"/>
          <w:szCs w:val="22"/>
        </w:rPr>
        <w:t xml:space="preserve">main manuscript table </w:t>
      </w:r>
      <w:commentRangeEnd w:id="79"/>
      <w:r w:rsidR="00AC243B" w:rsidRPr="00FB3565">
        <w:rPr>
          <w:rStyle w:val="CommentReference"/>
          <w:rFonts w:ascii="Arial" w:hAnsi="Arial" w:cs="Arial"/>
          <w:sz w:val="22"/>
          <w:szCs w:val="22"/>
        </w:rPr>
        <w:commentReference w:id="79"/>
      </w:r>
      <w:r w:rsidRPr="00FB3565">
        <w:rPr>
          <w:rFonts w:ascii="Arial" w:hAnsi="Arial" w:cs="Arial"/>
          <w:sz w:val="22"/>
          <w:szCs w:val="22"/>
        </w:rPr>
        <w:t xml:space="preserve">for easy referencing. It is really a challenge for the reader to follow along with the many comparisons that are being described, including the directionality of </w:t>
      </w:r>
      <w:commentRangeStart w:id="80"/>
      <w:r w:rsidRPr="00FB3565">
        <w:rPr>
          <w:rFonts w:ascii="Arial" w:hAnsi="Arial" w:cs="Arial"/>
          <w:sz w:val="22"/>
          <w:szCs w:val="22"/>
        </w:rPr>
        <w:t>changes</w:t>
      </w:r>
      <w:commentRangeEnd w:id="80"/>
      <w:r w:rsidR="00E63231">
        <w:rPr>
          <w:rStyle w:val="CommentReference"/>
        </w:rPr>
        <w:commentReference w:id="80"/>
      </w:r>
      <w:r w:rsidRPr="00FB3565">
        <w:rPr>
          <w:rFonts w:ascii="Arial" w:hAnsi="Arial" w:cs="Arial"/>
          <w:sz w:val="22"/>
          <w:szCs w:val="22"/>
        </w:rPr>
        <w:t>.</w:t>
      </w:r>
    </w:p>
    <w:p w14:paraId="631F1F51" w14:textId="192D70C0" w:rsidR="004C2E15" w:rsidRDefault="004C2E15" w:rsidP="004C2E15">
      <w:pPr>
        <w:jc w:val="both"/>
        <w:rPr>
          <w:rFonts w:ascii="Arial" w:hAnsi="Arial" w:cs="Arial"/>
          <w:sz w:val="22"/>
          <w:szCs w:val="22"/>
        </w:rPr>
      </w:pPr>
    </w:p>
    <w:p w14:paraId="2BF3ACD0" w14:textId="4BEB0775" w:rsidR="000F476B" w:rsidRDefault="000F476B" w:rsidP="000F476B">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We generated a main manuscript table showing the number of DEGs and DARs from different comparisons.</w:t>
      </w:r>
    </w:p>
    <w:p w14:paraId="1289E840" w14:textId="77777777" w:rsidR="000F476B" w:rsidRDefault="000F476B" w:rsidP="000F476B">
      <w:pPr>
        <w:jc w:val="both"/>
        <w:rPr>
          <w:rFonts w:ascii="Arial" w:hAnsi="Arial" w:cs="Arial"/>
          <w:color w:val="2E74B5" w:themeColor="accent5" w:themeShade="BF"/>
          <w:sz w:val="22"/>
          <w:szCs w:val="22"/>
        </w:rPr>
      </w:pPr>
    </w:p>
    <w:p w14:paraId="27039E98" w14:textId="7B5165CB" w:rsidR="000F476B" w:rsidRDefault="000F476B" w:rsidP="000F476B">
      <w:pPr>
        <w:jc w:val="center"/>
        <w:rPr>
          <w:rFonts w:ascii="Arial" w:hAnsi="Arial" w:cs="Arial"/>
          <w:color w:val="2E74B5" w:themeColor="accent5" w:themeShade="BF"/>
          <w:sz w:val="22"/>
          <w:szCs w:val="22"/>
        </w:rPr>
      </w:pPr>
      <w:r w:rsidRPr="000F476B">
        <w:rPr>
          <w:rFonts w:ascii="Arial" w:hAnsi="Arial" w:cs="Arial"/>
          <w:noProof/>
          <w:color w:val="2E74B5" w:themeColor="accent5" w:themeShade="BF"/>
          <w:sz w:val="22"/>
          <w:szCs w:val="22"/>
        </w:rPr>
        <w:drawing>
          <wp:inline distT="0" distB="0" distL="0" distR="0" wp14:anchorId="7CBB26D6" wp14:editId="174A5480">
            <wp:extent cx="4439798" cy="1192010"/>
            <wp:effectExtent l="0" t="0" r="571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53575" cy="1195709"/>
                    </a:xfrm>
                    <a:prstGeom prst="rect">
                      <a:avLst/>
                    </a:prstGeom>
                  </pic:spPr>
                </pic:pic>
              </a:graphicData>
            </a:graphic>
          </wp:inline>
        </w:drawing>
      </w:r>
    </w:p>
    <w:p w14:paraId="69E59DFC" w14:textId="77777777" w:rsidR="000F476B" w:rsidRPr="00FB3565" w:rsidRDefault="000F476B" w:rsidP="004C2E15">
      <w:pPr>
        <w:jc w:val="both"/>
        <w:rPr>
          <w:rFonts w:ascii="Arial" w:hAnsi="Arial" w:cs="Arial"/>
          <w:sz w:val="22"/>
          <w:szCs w:val="22"/>
        </w:rPr>
      </w:pPr>
    </w:p>
    <w:p w14:paraId="3C015F36" w14:textId="4F9FA36F" w:rsidR="004C2E15" w:rsidRDefault="004C2E15" w:rsidP="004C2E15">
      <w:pPr>
        <w:jc w:val="both"/>
        <w:rPr>
          <w:rFonts w:ascii="Arial" w:hAnsi="Arial" w:cs="Arial"/>
          <w:sz w:val="22"/>
          <w:szCs w:val="22"/>
        </w:rPr>
      </w:pPr>
      <w:r w:rsidRPr="00FB3565">
        <w:rPr>
          <w:rFonts w:ascii="Arial" w:hAnsi="Arial" w:cs="Arial"/>
          <w:sz w:val="22"/>
          <w:szCs w:val="22"/>
        </w:rPr>
        <w:t xml:space="preserve">7. The manuscript is strongest when it is able to home in on specific future targets (like </w:t>
      </w:r>
      <w:proofErr w:type="spellStart"/>
      <w:r w:rsidRPr="00FB3565">
        <w:rPr>
          <w:rFonts w:ascii="Arial" w:hAnsi="Arial" w:cs="Arial"/>
          <w:sz w:val="22"/>
          <w:szCs w:val="22"/>
        </w:rPr>
        <w:t>Egr</w:t>
      </w:r>
      <w:proofErr w:type="spellEnd"/>
      <w:r w:rsidRPr="00FB3565">
        <w:rPr>
          <w:rFonts w:ascii="Arial" w:hAnsi="Arial" w:cs="Arial"/>
          <w:sz w:val="22"/>
          <w:szCs w:val="22"/>
        </w:rPr>
        <w:t xml:space="preserve"> and Sox) and weakest when discussing really broad DAVID categories. To some degree, it is no surprise that “brain” associated gene sets are present in the brain tissue. To emphasize the truly novel parts of these findings, the authors may want to </w:t>
      </w:r>
      <w:bookmarkStart w:id="81" w:name="OLE_LINK22"/>
      <w:bookmarkStart w:id="82" w:name="OLE_LINK23"/>
      <w:r w:rsidRPr="00FB3565">
        <w:rPr>
          <w:rFonts w:ascii="Arial" w:hAnsi="Arial" w:cs="Arial"/>
          <w:sz w:val="22"/>
          <w:szCs w:val="22"/>
        </w:rPr>
        <w:t xml:space="preserve">trim </w:t>
      </w:r>
      <w:bookmarkEnd w:id="81"/>
      <w:bookmarkEnd w:id="82"/>
      <w:r w:rsidRPr="00FB3565">
        <w:rPr>
          <w:rFonts w:ascii="Arial" w:hAnsi="Arial" w:cs="Arial"/>
          <w:sz w:val="22"/>
          <w:szCs w:val="22"/>
        </w:rPr>
        <w:t xml:space="preserve">some of the results/discussion with an eye towards the more informative </w:t>
      </w:r>
      <w:commentRangeStart w:id="83"/>
      <w:r w:rsidRPr="00FB3565">
        <w:rPr>
          <w:rFonts w:ascii="Arial" w:hAnsi="Arial" w:cs="Arial"/>
          <w:sz w:val="22"/>
          <w:szCs w:val="22"/>
        </w:rPr>
        <w:t>findings</w:t>
      </w:r>
      <w:commentRangeEnd w:id="83"/>
      <w:r w:rsidR="00E63231">
        <w:rPr>
          <w:rStyle w:val="CommentReference"/>
        </w:rPr>
        <w:commentReference w:id="83"/>
      </w:r>
      <w:r w:rsidRPr="00FB3565">
        <w:rPr>
          <w:rFonts w:ascii="Arial" w:hAnsi="Arial" w:cs="Arial"/>
          <w:sz w:val="22"/>
          <w:szCs w:val="22"/>
        </w:rPr>
        <w:t>.</w:t>
      </w:r>
    </w:p>
    <w:p w14:paraId="3A4DBE67" w14:textId="77777777" w:rsidR="000F476B" w:rsidRPr="00FB3565" w:rsidRDefault="000F476B" w:rsidP="004C2E15">
      <w:pPr>
        <w:jc w:val="both"/>
        <w:rPr>
          <w:rFonts w:ascii="Arial" w:hAnsi="Arial" w:cs="Arial"/>
          <w:sz w:val="22"/>
          <w:szCs w:val="22"/>
        </w:rPr>
      </w:pPr>
    </w:p>
    <w:p w14:paraId="1BAE6CF7" w14:textId="1E587707" w:rsidR="004C2E15" w:rsidRDefault="004C2E15" w:rsidP="004C2E15">
      <w:pPr>
        <w:jc w:val="both"/>
        <w:rPr>
          <w:rFonts w:ascii="Arial" w:hAnsi="Arial" w:cs="Arial"/>
          <w:sz w:val="22"/>
          <w:szCs w:val="22"/>
        </w:rPr>
      </w:pPr>
    </w:p>
    <w:p w14:paraId="42DB1B8A" w14:textId="77777777" w:rsidR="000F476B" w:rsidRPr="00FB3565" w:rsidRDefault="000F476B" w:rsidP="004C2E15">
      <w:pPr>
        <w:jc w:val="both"/>
        <w:rPr>
          <w:rFonts w:ascii="Arial" w:hAnsi="Arial" w:cs="Arial"/>
          <w:sz w:val="22"/>
          <w:szCs w:val="22"/>
        </w:rPr>
      </w:pPr>
    </w:p>
    <w:p w14:paraId="0D970B1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8. There are a few places in the discussion that might warrant reconsideration or further elaboration:</w:t>
      </w:r>
    </w:p>
    <w:p w14:paraId="769200AB" w14:textId="20BA897B" w:rsidR="004C2E15" w:rsidRDefault="004C2E15" w:rsidP="004C2E15">
      <w:pPr>
        <w:jc w:val="both"/>
        <w:rPr>
          <w:rFonts w:ascii="Arial" w:hAnsi="Arial" w:cs="Arial"/>
          <w:sz w:val="22"/>
          <w:szCs w:val="22"/>
        </w:rPr>
      </w:pPr>
      <w:r w:rsidRPr="00FB3565">
        <w:rPr>
          <w:rFonts w:ascii="Arial" w:hAnsi="Arial" w:cs="Arial"/>
          <w:sz w:val="22"/>
          <w:szCs w:val="22"/>
        </w:rPr>
        <w:t xml:space="preserve">a. On line 383, the authors state that it is “surprising” that METH exposure induced genome-wide epigenetic alterations. I suppose this doesn’t surprise this reviewer, as an “overdose” is a dramatic treatment that I would hypothesize would alter these regions. This also seems somewhat counter </w:t>
      </w:r>
      <w:r w:rsidRPr="00FB3565">
        <w:rPr>
          <w:rFonts w:ascii="Arial" w:hAnsi="Arial" w:cs="Arial"/>
          <w:sz w:val="22"/>
          <w:szCs w:val="22"/>
        </w:rPr>
        <w:lastRenderedPageBreak/>
        <w:t xml:space="preserve">to what the authors state in the previous literature and in the rationale for undertaking these </w:t>
      </w:r>
      <w:commentRangeStart w:id="84"/>
      <w:r w:rsidRPr="00FB3565">
        <w:rPr>
          <w:rFonts w:ascii="Arial" w:hAnsi="Arial" w:cs="Arial"/>
          <w:sz w:val="22"/>
          <w:szCs w:val="22"/>
        </w:rPr>
        <w:t>studies</w:t>
      </w:r>
      <w:commentRangeEnd w:id="84"/>
      <w:r w:rsidR="00E63231">
        <w:rPr>
          <w:rStyle w:val="CommentReference"/>
        </w:rPr>
        <w:commentReference w:id="84"/>
      </w:r>
      <w:r w:rsidRPr="00FB3565">
        <w:rPr>
          <w:rFonts w:ascii="Arial" w:hAnsi="Arial" w:cs="Arial"/>
          <w:sz w:val="22"/>
          <w:szCs w:val="22"/>
        </w:rPr>
        <w:t>.</w:t>
      </w:r>
    </w:p>
    <w:p w14:paraId="2F390056" w14:textId="38CEB61D" w:rsidR="00E63231" w:rsidRDefault="00E63231" w:rsidP="004C2E15">
      <w:pPr>
        <w:jc w:val="both"/>
        <w:rPr>
          <w:rFonts w:ascii="Arial" w:hAnsi="Arial" w:cs="Arial"/>
          <w:sz w:val="22"/>
          <w:szCs w:val="22"/>
        </w:rPr>
      </w:pPr>
    </w:p>
    <w:p w14:paraId="6D2D4C53" w14:textId="7062F1A8" w:rsidR="00E63231" w:rsidRPr="00E63231" w:rsidRDefault="00E63231" w:rsidP="004C2E15">
      <w:pPr>
        <w:jc w:val="both"/>
        <w:rPr>
          <w:rFonts w:ascii="Arial" w:hAnsi="Arial" w:cs="Arial"/>
          <w:color w:val="2E74B5" w:themeColor="accent5" w:themeShade="BF"/>
          <w:sz w:val="22"/>
          <w:szCs w:val="22"/>
        </w:rPr>
      </w:pPr>
      <w:r w:rsidRPr="00E63231">
        <w:rPr>
          <w:rFonts w:ascii="Arial" w:hAnsi="Arial" w:cs="Arial"/>
          <w:color w:val="2E74B5" w:themeColor="accent5" w:themeShade="BF"/>
          <w:sz w:val="22"/>
          <w:szCs w:val="22"/>
        </w:rPr>
        <w:t>We removed the word “Surprisingly” in the discussion.</w:t>
      </w:r>
    </w:p>
    <w:p w14:paraId="17853228" w14:textId="77777777" w:rsidR="00E63231" w:rsidRPr="00FB3565" w:rsidRDefault="00E63231" w:rsidP="004C2E15">
      <w:pPr>
        <w:jc w:val="both"/>
        <w:rPr>
          <w:rFonts w:ascii="Arial" w:hAnsi="Arial" w:cs="Arial"/>
          <w:sz w:val="22"/>
          <w:szCs w:val="22"/>
        </w:rPr>
      </w:pPr>
    </w:p>
    <w:p w14:paraId="5A30959B" w14:textId="6BE1E299" w:rsidR="004C2E15" w:rsidRDefault="004C2E15" w:rsidP="004C2E15">
      <w:pPr>
        <w:jc w:val="both"/>
        <w:rPr>
          <w:rFonts w:ascii="Arial" w:hAnsi="Arial" w:cs="Arial"/>
          <w:sz w:val="22"/>
          <w:szCs w:val="22"/>
        </w:rPr>
      </w:pPr>
      <w:r w:rsidRPr="00FB3565">
        <w:rPr>
          <w:rFonts w:ascii="Arial" w:hAnsi="Arial" w:cs="Arial"/>
          <w:sz w:val="22"/>
          <w:szCs w:val="22"/>
        </w:rPr>
        <w:t>b. It is not clear to me what the authors mean by the sentence starting on line 389 (“This large difference in transcriptional response does not correspond…”).</w:t>
      </w:r>
    </w:p>
    <w:p w14:paraId="53BEFF04" w14:textId="614A2AF8" w:rsidR="00E63231" w:rsidRDefault="00E63231" w:rsidP="004C2E15">
      <w:pPr>
        <w:jc w:val="both"/>
        <w:rPr>
          <w:rFonts w:ascii="Arial" w:hAnsi="Arial" w:cs="Arial"/>
          <w:sz w:val="22"/>
          <w:szCs w:val="22"/>
        </w:rPr>
      </w:pPr>
    </w:p>
    <w:p w14:paraId="755F6939" w14:textId="6787F188" w:rsidR="00E63231" w:rsidRPr="00E63231" w:rsidRDefault="00E63231" w:rsidP="004C2E15">
      <w:pPr>
        <w:jc w:val="both"/>
        <w:rPr>
          <w:rFonts w:ascii="Arial" w:hAnsi="Arial" w:cs="Arial"/>
          <w:color w:val="2E74B5" w:themeColor="accent5" w:themeShade="BF"/>
          <w:sz w:val="22"/>
          <w:szCs w:val="22"/>
        </w:rPr>
      </w:pPr>
      <w:r w:rsidRPr="00E63231">
        <w:rPr>
          <w:rFonts w:ascii="Arial" w:hAnsi="Arial" w:cs="Arial"/>
          <w:color w:val="2E74B5" w:themeColor="accent5" w:themeShade="BF"/>
          <w:sz w:val="22"/>
          <w:szCs w:val="22"/>
        </w:rPr>
        <w:t xml:space="preserve">“This large difference in transcriptional response does not correspond with the sizes of the sets of genes with region-specific expression overall, which number only in the hundreds for each region (Fig. 1d)”, here showed different size of DEGs across 4 brain regions did not match the size of region-specific genes in each region. </w:t>
      </w:r>
      <w:r w:rsidRPr="00E63231">
        <w:rPr>
          <w:rFonts w:ascii="Arial" w:hAnsi="Arial" w:cs="Arial"/>
          <w:color w:val="C00000"/>
          <w:sz w:val="22"/>
          <w:szCs w:val="22"/>
        </w:rPr>
        <w:t>Remove this sentence?</w:t>
      </w:r>
    </w:p>
    <w:p w14:paraId="1021BB1B" w14:textId="77777777" w:rsidR="00E63231" w:rsidRPr="00FB3565" w:rsidRDefault="00E63231" w:rsidP="004C2E15">
      <w:pPr>
        <w:jc w:val="both"/>
        <w:rPr>
          <w:rFonts w:ascii="Arial" w:hAnsi="Arial" w:cs="Arial"/>
          <w:sz w:val="22"/>
          <w:szCs w:val="22"/>
        </w:rPr>
      </w:pPr>
    </w:p>
    <w:p w14:paraId="250D29CF" w14:textId="7913C0A3" w:rsidR="00E15AF4" w:rsidRDefault="004C2E15" w:rsidP="004C2E15">
      <w:pPr>
        <w:jc w:val="both"/>
        <w:rPr>
          <w:rFonts w:ascii="Arial" w:hAnsi="Arial" w:cs="Arial"/>
          <w:sz w:val="22"/>
          <w:szCs w:val="22"/>
        </w:rPr>
      </w:pPr>
      <w:r w:rsidRPr="00FB3565">
        <w:rPr>
          <w:rFonts w:ascii="Arial" w:hAnsi="Arial" w:cs="Arial"/>
          <w:sz w:val="22"/>
          <w:szCs w:val="22"/>
        </w:rPr>
        <w:t xml:space="preserve">c. The concluding sentence on lines 422-423 (“Thus, we firmly believe that the conserved…”) seems to be a stretch based on the data presented in this paper, which doesn’t address behavior at all, and certainly not ‘addictive </w:t>
      </w:r>
      <w:commentRangeStart w:id="85"/>
      <w:r w:rsidRPr="00FB3565">
        <w:rPr>
          <w:rFonts w:ascii="Arial" w:hAnsi="Arial" w:cs="Arial"/>
          <w:sz w:val="22"/>
          <w:szCs w:val="22"/>
        </w:rPr>
        <w:t>behaviors</w:t>
      </w:r>
      <w:commentRangeEnd w:id="85"/>
      <w:r w:rsidR="00AB52BA">
        <w:rPr>
          <w:rStyle w:val="CommentReference"/>
        </w:rPr>
        <w:commentReference w:id="85"/>
      </w:r>
      <w:r w:rsidRPr="00FB3565">
        <w:rPr>
          <w:rFonts w:ascii="Arial" w:hAnsi="Arial" w:cs="Arial"/>
          <w:sz w:val="22"/>
          <w:szCs w:val="22"/>
        </w:rPr>
        <w:t>’.</w:t>
      </w:r>
    </w:p>
    <w:p w14:paraId="05D23883" w14:textId="6CCEA07A" w:rsidR="00E63231" w:rsidRDefault="00E63231" w:rsidP="004C2E15">
      <w:pPr>
        <w:jc w:val="both"/>
        <w:rPr>
          <w:rFonts w:ascii="Arial" w:hAnsi="Arial" w:cs="Arial"/>
          <w:sz w:val="22"/>
          <w:szCs w:val="22"/>
        </w:rPr>
      </w:pPr>
    </w:p>
    <w:p w14:paraId="4DEF4C93" w14:textId="28ADD552" w:rsidR="00E63231" w:rsidRPr="006A2FAE" w:rsidRDefault="006A2FAE" w:rsidP="006A2FAE">
      <w:pPr>
        <w:jc w:val="both"/>
        <w:rPr>
          <w:rFonts w:ascii="Arial" w:hAnsi="Arial" w:cs="Arial"/>
          <w:color w:val="2E74B5" w:themeColor="accent5" w:themeShade="BF"/>
          <w:sz w:val="22"/>
          <w:szCs w:val="22"/>
        </w:rPr>
      </w:pPr>
      <w:r w:rsidRPr="006A2FAE">
        <w:rPr>
          <w:rFonts w:ascii="Arial" w:hAnsi="Arial" w:cs="Arial"/>
          <w:color w:val="2E74B5" w:themeColor="accent5" w:themeShade="BF"/>
          <w:sz w:val="22"/>
          <w:szCs w:val="22"/>
        </w:rPr>
        <w:t xml:space="preserve">We modified this sentence: Thus, we firmly believe that the conserved human orthologs of DARs identified in this study are highly likely to play essential roles in human brain responding to METH </w:t>
      </w:r>
      <w:r w:rsidR="00AB52BA" w:rsidRPr="00AB52BA">
        <w:rPr>
          <w:rFonts w:ascii="Arial" w:hAnsi="Arial" w:cs="Arial"/>
          <w:color w:val="2E74B5" w:themeColor="accent5" w:themeShade="BF"/>
          <w:sz w:val="22"/>
          <w:szCs w:val="22"/>
        </w:rPr>
        <w:t>neurotoxicity</w:t>
      </w:r>
      <w:r w:rsidRPr="006A2FAE">
        <w:rPr>
          <w:rFonts w:ascii="Arial" w:hAnsi="Arial" w:cs="Arial"/>
          <w:color w:val="2E74B5" w:themeColor="accent5" w:themeShade="BF"/>
          <w:sz w:val="22"/>
          <w:szCs w:val="22"/>
        </w:rPr>
        <w:t>.</w:t>
      </w:r>
    </w:p>
    <w:p w14:paraId="3460029C" w14:textId="77777777" w:rsidR="00E63231" w:rsidRPr="00FB3565" w:rsidRDefault="00E63231" w:rsidP="004C2E15">
      <w:pPr>
        <w:jc w:val="both"/>
        <w:rPr>
          <w:rFonts w:ascii="Arial" w:hAnsi="Arial" w:cs="Arial"/>
          <w:sz w:val="22"/>
          <w:szCs w:val="22"/>
        </w:rPr>
      </w:pPr>
    </w:p>
    <w:p w14:paraId="5DA4FF80" w14:textId="77777777" w:rsidR="00E15AF4" w:rsidRDefault="00E15AF4" w:rsidP="00E15AF4"/>
    <w:p w14:paraId="410622B3" w14:textId="236E1541" w:rsidR="009519EB" w:rsidRDefault="009519EB" w:rsidP="004B2B73"/>
    <w:p w14:paraId="51322B7D" w14:textId="0CBB4230" w:rsidR="009519EB" w:rsidRDefault="009519EB" w:rsidP="004B2B73"/>
    <w:p w14:paraId="06E6F4DF" w14:textId="654CC2C9" w:rsidR="009519EB" w:rsidRDefault="009519EB" w:rsidP="004B2B73"/>
    <w:p w14:paraId="4CD98690" w14:textId="500C3195" w:rsidR="009519EB" w:rsidRDefault="009519EB" w:rsidP="004B2B73"/>
    <w:p w14:paraId="7ED6F0D9" w14:textId="16E2BF3A" w:rsidR="009519EB" w:rsidRDefault="009519EB" w:rsidP="004B2B73"/>
    <w:p w14:paraId="13CEDA6E" w14:textId="77777777" w:rsidR="009519EB" w:rsidRDefault="009519EB" w:rsidP="004B2B73"/>
    <w:sectPr w:rsidR="009519EB" w:rsidSect="00BF7BAA">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 w:author="Miao, Benpeng" w:date="2022-11-02T21:48:00Z" w:initials="MB">
    <w:p w14:paraId="22A5C045" w14:textId="11C64A54" w:rsidR="00B17256" w:rsidRPr="001527E0" w:rsidRDefault="00B17256">
      <w:pPr>
        <w:pStyle w:val="CommentText"/>
        <w:rPr>
          <w:color w:val="FF0000"/>
        </w:rPr>
      </w:pPr>
      <w:r>
        <w:rPr>
          <w:rStyle w:val="CommentReference"/>
        </w:rPr>
        <w:annotationRef/>
      </w:r>
      <w:r w:rsidRPr="001527E0">
        <w:rPr>
          <w:color w:val="FF0000"/>
        </w:rPr>
        <w:t xml:space="preserve">117 </w:t>
      </w:r>
      <w:r w:rsidR="00E373A8">
        <w:rPr>
          <w:color w:val="FF0000"/>
        </w:rPr>
        <w:t>human</w:t>
      </w:r>
      <w:r w:rsidRPr="001527E0">
        <w:rPr>
          <w:color w:val="FF0000"/>
        </w:rPr>
        <w:t xml:space="preserve"> validated </w:t>
      </w:r>
      <w:proofErr w:type="gramStart"/>
      <w:r w:rsidRPr="001527E0">
        <w:rPr>
          <w:color w:val="FF0000"/>
        </w:rPr>
        <w:t>enhancer</w:t>
      </w:r>
      <w:proofErr w:type="gramEnd"/>
      <w:r w:rsidRPr="001527E0">
        <w:rPr>
          <w:color w:val="FF0000"/>
        </w:rPr>
        <w:t xml:space="preserve"> were ortholog in rat brain showing significant changes responding to Meth-overdose, among those enhancers, 8 enhancers became more open responding to Meth-overdose and those enhancer-associated genes also show higher expression in Meth sample than Sal samples; 9 enhancers were less open and their associated genes expression were reduced under Meth-overdose.</w:t>
      </w:r>
    </w:p>
    <w:p w14:paraId="20C65C3A" w14:textId="1763C656" w:rsidR="00B17256" w:rsidRPr="001527E0" w:rsidRDefault="00B17256">
      <w:pPr>
        <w:pStyle w:val="CommentText"/>
        <w:rPr>
          <w:color w:val="FF0000"/>
        </w:rPr>
      </w:pPr>
      <w:r w:rsidRPr="001527E0">
        <w:rPr>
          <w:color w:val="FF0000"/>
        </w:rPr>
        <w:t xml:space="preserve"> 179 mouse validated enhancer were ortholog in rat brain showing significant changes responding to Meth-overdose, among those enhancers, 21 enhancers became more open responding to Meth-overdose and those enhancer-associated genes also show higher expression in Meth sample than Sal samples; 16 enhancers were less </w:t>
      </w:r>
      <w:proofErr w:type="gramStart"/>
      <w:r w:rsidRPr="001527E0">
        <w:rPr>
          <w:color w:val="FF0000"/>
        </w:rPr>
        <w:t>open</w:t>
      </w:r>
      <w:proofErr w:type="gramEnd"/>
      <w:r w:rsidRPr="001527E0">
        <w:rPr>
          <w:color w:val="FF0000"/>
        </w:rPr>
        <w:t xml:space="preserve"> and their associated genes expression were reduced under Meth-overdose.</w:t>
      </w:r>
    </w:p>
  </w:comment>
  <w:comment w:id="11" w:author="Miao, Benpeng" w:date="2022-09-20T11:56:00Z" w:initials="MB">
    <w:p w14:paraId="6B26F821" w14:textId="799000C2" w:rsidR="003D375F" w:rsidRDefault="003D375F">
      <w:pPr>
        <w:pStyle w:val="CommentText"/>
      </w:pPr>
      <w:r>
        <w:rPr>
          <w:rStyle w:val="CommentReference"/>
        </w:rPr>
        <w:annotationRef/>
      </w:r>
      <w:r w:rsidR="009B054C">
        <w:t>Shtn1 not identified as DEG in rat brain;</w:t>
      </w:r>
    </w:p>
    <w:p w14:paraId="7C63D048" w14:textId="30964492" w:rsidR="009B054C" w:rsidRDefault="009B054C">
      <w:pPr>
        <w:pStyle w:val="CommentText"/>
      </w:pPr>
      <w:r>
        <w:t>Mctp1 identified as down-regulated DEG in SVZ, but the DAR associated enhancer is more accessible in SVZ</w:t>
      </w:r>
    </w:p>
  </w:comment>
  <w:comment w:id="28" w:author="Miao, Benpeng" w:date="2023-02-06T21:41:00Z" w:initials="MB">
    <w:p w14:paraId="21675FE7" w14:textId="77777777" w:rsidR="006E0A50" w:rsidRDefault="006E0A50" w:rsidP="006E0A50">
      <w:pPr>
        <w:jc w:val="both"/>
        <w:rPr>
          <w:rFonts w:ascii="Arial" w:hAnsi="Arial" w:cs="Arial"/>
          <w:color w:val="2E74B5" w:themeColor="accent5" w:themeShade="BF"/>
          <w:sz w:val="22"/>
          <w:szCs w:val="22"/>
        </w:rPr>
      </w:pPr>
      <w:r>
        <w:rPr>
          <w:rStyle w:val="CommentReference"/>
        </w:rPr>
        <w:annotationRef/>
      </w: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W</w:t>
      </w:r>
      <w:r w:rsidRPr="00DA1BB1">
        <w:rPr>
          <w:rFonts w:ascii="Arial" w:hAnsi="Arial" w:cs="Arial"/>
          <w:color w:val="2E74B5" w:themeColor="accent5" w:themeShade="BF"/>
          <w:sz w:val="22"/>
          <w:szCs w:val="22"/>
        </w:rPr>
        <w:t xml:space="preserve">e described the methamphetamine administration </w:t>
      </w:r>
      <w:r>
        <w:rPr>
          <w:rFonts w:ascii="Arial" w:hAnsi="Arial" w:cs="Arial"/>
          <w:color w:val="2E74B5" w:themeColor="accent5" w:themeShade="BF"/>
          <w:sz w:val="22"/>
          <w:szCs w:val="22"/>
        </w:rPr>
        <w:t>i</w:t>
      </w:r>
      <w:r w:rsidRPr="00DA1BB1">
        <w:rPr>
          <w:rFonts w:ascii="Arial" w:hAnsi="Arial" w:cs="Arial"/>
          <w:color w:val="2E74B5" w:themeColor="accent5" w:themeShade="BF"/>
          <w:sz w:val="22"/>
          <w:szCs w:val="22"/>
        </w:rPr>
        <w:t>n the method</w:t>
      </w:r>
      <w:r>
        <w:rPr>
          <w:rFonts w:ascii="Arial" w:hAnsi="Arial" w:cs="Arial"/>
          <w:color w:val="2E74B5" w:themeColor="accent5" w:themeShade="BF"/>
          <w:sz w:val="22"/>
          <w:szCs w:val="22"/>
        </w:rPr>
        <w:t xml:space="preserve"> and revised the word “overdose” to “binge methamphetamine”. </w:t>
      </w:r>
      <w:r w:rsidRPr="00DA1BB1">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male rat models</w:t>
      </w:r>
      <w:r w:rsidRPr="00DA1BB1">
        <w:rPr>
          <w:rFonts w:ascii="Arial" w:hAnsi="Arial" w:cs="Arial"/>
          <w:color w:val="2E74B5" w:themeColor="accent5" w:themeShade="BF"/>
          <w:sz w:val="22"/>
          <w:szCs w:val="22"/>
        </w:rPr>
        <w:t xml:space="preserve"> were injected with (+)-Methamphetamine hydrochloride (METH, 10 mg/kg free base) (Sigma-Aldrich, St. Louis, MO) every 2 h in four successive intraperitoneal (</w:t>
      </w:r>
      <w:proofErr w:type="spellStart"/>
      <w:r w:rsidRPr="00DA1BB1">
        <w:rPr>
          <w:rFonts w:ascii="Arial" w:hAnsi="Arial" w:cs="Arial"/>
          <w:color w:val="2E74B5" w:themeColor="accent5" w:themeShade="BF"/>
          <w:sz w:val="22"/>
          <w:szCs w:val="22"/>
        </w:rPr>
        <w:t>i.p</w:t>
      </w:r>
      <w:proofErr w:type="spellEnd"/>
      <w:r w:rsidRPr="00DA1BB1">
        <w:rPr>
          <w:rFonts w:ascii="Arial" w:hAnsi="Arial" w:cs="Arial"/>
          <w:color w:val="2E74B5" w:themeColor="accent5" w:themeShade="BF"/>
          <w:sz w:val="22"/>
          <w:szCs w:val="22"/>
        </w:rPr>
        <w:t>.), as previous studies</w:t>
      </w:r>
      <w:r>
        <w:rPr>
          <w:rFonts w:ascii="Arial" w:hAnsi="Arial" w:cs="Arial"/>
          <w:color w:val="2E74B5" w:themeColor="accent5" w:themeShade="BF"/>
          <w:sz w:val="22"/>
          <w:szCs w:val="22"/>
        </w:rPr>
        <w:t>:</w:t>
      </w:r>
    </w:p>
    <w:p w14:paraId="15D6D7EB" w14:textId="77777777" w:rsidR="006E0A50" w:rsidRDefault="006E0A50" w:rsidP="006E0A50">
      <w:pPr>
        <w:jc w:val="both"/>
        <w:rPr>
          <w:rFonts w:ascii="Arial" w:hAnsi="Arial" w:cs="Arial"/>
          <w:color w:val="2E74B5" w:themeColor="accent5" w:themeShade="BF"/>
          <w:sz w:val="22"/>
          <w:szCs w:val="22"/>
        </w:rPr>
      </w:pPr>
    </w:p>
    <w:p w14:paraId="6E261248" w14:textId="77777777" w:rsidR="006E0A50" w:rsidRPr="00DA1BB1" w:rsidRDefault="006E0A50"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 xml:space="preserve">1. Chauhan H, Killinger BA, Miller CV, </w:t>
      </w:r>
      <w:proofErr w:type="spellStart"/>
      <w:r w:rsidRPr="00DA1BB1">
        <w:rPr>
          <w:rFonts w:ascii="Arial" w:hAnsi="Arial" w:cs="Arial"/>
          <w:color w:val="2E74B5" w:themeColor="accent5" w:themeShade="BF"/>
          <w:sz w:val="20"/>
          <w:szCs w:val="20"/>
        </w:rPr>
        <w:t>Moszczynska</w:t>
      </w:r>
      <w:proofErr w:type="spellEnd"/>
      <w:r w:rsidRPr="00DA1BB1">
        <w:rPr>
          <w:rFonts w:ascii="Arial" w:hAnsi="Arial" w:cs="Arial"/>
          <w:color w:val="2E74B5" w:themeColor="accent5" w:themeShade="BF"/>
          <w:sz w:val="20"/>
          <w:szCs w:val="20"/>
        </w:rPr>
        <w:t xml:space="preserve"> A. Single and binge methamphetamine administrations have different effects on the levels of dopamine D2 </w:t>
      </w:r>
      <w:proofErr w:type="spellStart"/>
      <w:r w:rsidRPr="00DA1BB1">
        <w:rPr>
          <w:rFonts w:ascii="Arial" w:hAnsi="Arial" w:cs="Arial"/>
          <w:color w:val="2E74B5" w:themeColor="accent5" w:themeShade="BF"/>
          <w:sz w:val="20"/>
          <w:szCs w:val="20"/>
        </w:rPr>
        <w:t>autoreceptor</w:t>
      </w:r>
      <w:proofErr w:type="spellEnd"/>
      <w:r w:rsidRPr="00DA1BB1">
        <w:rPr>
          <w:rFonts w:ascii="Arial" w:hAnsi="Arial" w:cs="Arial"/>
          <w:color w:val="2E74B5" w:themeColor="accent5" w:themeShade="BF"/>
          <w:sz w:val="20"/>
          <w:szCs w:val="20"/>
        </w:rPr>
        <w:t xml:space="preserve"> and dopamine transporter in rat striatum. International Journal of Molecular Sciences 15, 5884-5906 (2014). </w:t>
      </w:r>
    </w:p>
    <w:p w14:paraId="45985209" w14:textId="77777777" w:rsidR="006E0A50" w:rsidRPr="00DA1BB1" w:rsidRDefault="006E0A50"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 xml:space="preserve">2. Zhang L, et al. Protective effects of minocycline on behavioral changes and neurotoxicity in mice after administration of methamphetamine. Progress in Neuro- Psychopharmacology and Biological Psychiatry 30, 1381-1393 (2006). </w:t>
      </w:r>
    </w:p>
    <w:p w14:paraId="7F900319" w14:textId="77777777" w:rsidR="006E0A50" w:rsidRDefault="006E0A50"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3. Yamamoto BK, Zhu W. The effects of methamphetamine on the production of free radicals and oxidative stress. Journal of Pharmacology and Experimental Therapeutics 287, 107-114 (1998).</w:t>
      </w:r>
    </w:p>
    <w:p w14:paraId="20A4B492" w14:textId="52D3E27F" w:rsidR="006E0A50" w:rsidRDefault="006E0A50">
      <w:pPr>
        <w:pStyle w:val="CommentText"/>
      </w:pPr>
    </w:p>
  </w:comment>
  <w:comment w:id="45" w:author="Miao, Benpeng" w:date="2022-09-12T14:32:00Z" w:initials="MB">
    <w:p w14:paraId="47E2E9CA" w14:textId="4807D3BD" w:rsidR="00FC2303" w:rsidRDefault="00FC2303">
      <w:pPr>
        <w:pStyle w:val="CommentText"/>
      </w:pPr>
      <w:r>
        <w:rPr>
          <w:rStyle w:val="CommentReference"/>
        </w:rPr>
        <w:annotationRef/>
      </w:r>
      <w:r>
        <w:t>introduction</w:t>
      </w:r>
    </w:p>
  </w:comment>
  <w:comment w:id="48" w:author="Miao, Benpeng" w:date="2023-02-07T10:02:00Z" w:initials="MB">
    <w:p w14:paraId="346C791F" w14:textId="57D3AC71" w:rsidR="00C43652" w:rsidRDefault="00C43652">
      <w:pPr>
        <w:pStyle w:val="CommentText"/>
      </w:pPr>
      <w:r>
        <w:rPr>
          <w:rStyle w:val="CommentReference"/>
        </w:rPr>
        <w:annotationRef/>
      </w:r>
      <w:r>
        <w:t>Do we need to add the reference?</w:t>
      </w:r>
    </w:p>
  </w:comment>
  <w:comment w:id="49" w:author="Miao, Benpeng" w:date="2022-09-12T14:34:00Z" w:initials="MB">
    <w:p w14:paraId="3B253139" w14:textId="77777777" w:rsidR="00FC2303" w:rsidRDefault="00FC2303" w:rsidP="009842E7">
      <w:pPr>
        <w:pStyle w:val="CommentText"/>
      </w:pPr>
      <w:r>
        <w:rPr>
          <w:rStyle w:val="CommentReference"/>
        </w:rPr>
        <w:annotationRef/>
      </w:r>
      <w:r w:rsidR="009842E7">
        <w:t>Add more details in Method:</w:t>
      </w:r>
    </w:p>
    <w:p w14:paraId="3B7F6AA5" w14:textId="4B8F3E31" w:rsidR="009842E7" w:rsidRDefault="009842E7" w:rsidP="009842E7">
      <w:pPr>
        <w:pStyle w:val="CommentText"/>
        <w:numPr>
          <w:ilvl w:val="0"/>
          <w:numId w:val="3"/>
        </w:numPr>
      </w:pPr>
      <w:r>
        <w:t xml:space="preserve"> experiment</w:t>
      </w:r>
    </w:p>
    <w:p w14:paraId="1B16B676" w14:textId="77777777" w:rsidR="009842E7" w:rsidRDefault="009842E7" w:rsidP="009842E7">
      <w:pPr>
        <w:pStyle w:val="CommentText"/>
        <w:numPr>
          <w:ilvl w:val="0"/>
          <w:numId w:val="3"/>
        </w:numPr>
      </w:pPr>
      <w:r>
        <w:t xml:space="preserve"> Library construction</w:t>
      </w:r>
    </w:p>
    <w:p w14:paraId="668863F9" w14:textId="77777777" w:rsidR="009842E7" w:rsidRDefault="009842E7" w:rsidP="009842E7">
      <w:pPr>
        <w:pStyle w:val="CommentText"/>
        <w:numPr>
          <w:ilvl w:val="0"/>
          <w:numId w:val="3"/>
        </w:numPr>
      </w:pPr>
      <w:r>
        <w:t xml:space="preserve"> Sequencing depth</w:t>
      </w:r>
    </w:p>
    <w:p w14:paraId="42BDE223" w14:textId="77777777" w:rsidR="009842E7" w:rsidRDefault="009842E7" w:rsidP="009842E7">
      <w:pPr>
        <w:pStyle w:val="CommentText"/>
        <w:numPr>
          <w:ilvl w:val="0"/>
          <w:numId w:val="3"/>
        </w:numPr>
      </w:pPr>
      <w:r>
        <w:t xml:space="preserve"> RIN values</w:t>
      </w:r>
    </w:p>
    <w:p w14:paraId="39F0CC8A" w14:textId="62618DA9" w:rsidR="009842E7" w:rsidRDefault="009842E7" w:rsidP="009842E7">
      <w:pPr>
        <w:pStyle w:val="CommentText"/>
        <w:numPr>
          <w:ilvl w:val="0"/>
          <w:numId w:val="3"/>
        </w:numPr>
      </w:pPr>
      <w:r>
        <w:t xml:space="preserve"> DEG, DAR analysis</w:t>
      </w:r>
    </w:p>
  </w:comment>
  <w:comment w:id="57" w:author="Miao, Benpeng" w:date="2023-02-08T09:50:00Z" w:initials="MB">
    <w:p w14:paraId="696095D5" w14:textId="594EBBF0" w:rsidR="00DF067F" w:rsidRPr="00B12768" w:rsidRDefault="00DF067F" w:rsidP="00DF067F">
      <w:pPr>
        <w:jc w:val="both"/>
        <w:rPr>
          <w:color w:val="7030A0"/>
        </w:rPr>
      </w:pPr>
      <w:r>
        <w:rPr>
          <w:rStyle w:val="CommentReference"/>
        </w:rPr>
        <w:annotationRef/>
      </w:r>
      <w:r w:rsidRPr="00DF067F">
        <w:rPr>
          <w:b/>
          <w:color w:val="7030A0"/>
        </w:rPr>
        <w:t>From AM:</w:t>
      </w:r>
      <w:r>
        <w:rPr>
          <w:color w:val="7030A0"/>
        </w:rPr>
        <w:t xml:space="preserve"> </w:t>
      </w:r>
      <w:proofErr w:type="spellStart"/>
      <w:r>
        <w:rPr>
          <w:color w:val="7030A0"/>
        </w:rPr>
        <w:t>Limanaqi</w:t>
      </w:r>
      <w:proofErr w:type="spellEnd"/>
      <w:r>
        <w:rPr>
          <w:color w:val="7030A0"/>
        </w:rPr>
        <w:t xml:space="preserve"> et al., 2018 is a review on epigenetic of METH neurotoxicity. I could not find a study using ATAC-</w:t>
      </w:r>
      <w:proofErr w:type="spellStart"/>
      <w:r>
        <w:rPr>
          <w:color w:val="7030A0"/>
        </w:rPr>
        <w:t>seq</w:t>
      </w:r>
      <w:proofErr w:type="spellEnd"/>
      <w:r>
        <w:rPr>
          <w:color w:val="7030A0"/>
        </w:rPr>
        <w:t xml:space="preserve"> on METH-exposed brain. We may be the first to be using ATAC-seq. However, the reviewer is right: on page 4 we use this ref as if it’s a study with ATAC-seq. We need to rephrase the sentence or find proper reference (if it exists).</w:t>
      </w:r>
    </w:p>
    <w:p w14:paraId="36279E13" w14:textId="28E80DA7" w:rsidR="00DF067F" w:rsidRDefault="00DF067F">
      <w:pPr>
        <w:pStyle w:val="CommentText"/>
      </w:pPr>
    </w:p>
  </w:comment>
  <w:comment w:id="56" w:author="Miao, Benpeng" w:date="2022-09-12T14:37:00Z" w:initials="MB">
    <w:p w14:paraId="0B9B6F71" w14:textId="6B5DD92E" w:rsidR="00FC2303" w:rsidRDefault="00FC2303">
      <w:pPr>
        <w:pStyle w:val="CommentText"/>
      </w:pPr>
      <w:r>
        <w:rPr>
          <w:rStyle w:val="CommentReference"/>
        </w:rPr>
        <w:annotationRef/>
      </w:r>
      <w:r>
        <w:t>Add more references</w:t>
      </w:r>
    </w:p>
  </w:comment>
  <w:comment w:id="58" w:author="Miao, Benpeng" w:date="2022-09-12T14:41:00Z" w:initials="MB">
    <w:p w14:paraId="6BE868AC" w14:textId="5ED7187E" w:rsidR="00561DC3" w:rsidRDefault="00561DC3">
      <w:pPr>
        <w:pStyle w:val="CommentText"/>
      </w:pPr>
      <w:r>
        <w:rPr>
          <w:rStyle w:val="CommentReference"/>
        </w:rPr>
        <w:annotationRef/>
      </w:r>
      <w:r>
        <w:t>Think about how to integrate the RNA-seq and ATAC-seq</w:t>
      </w:r>
    </w:p>
  </w:comment>
  <w:comment w:id="59" w:author="Miao, Benpeng" w:date="2022-09-12T14:46:00Z" w:initials="MB">
    <w:p w14:paraId="1DEAB7EE" w14:textId="44BF6CBE" w:rsidR="00E15AF4" w:rsidRDefault="00E15AF4">
      <w:pPr>
        <w:pStyle w:val="CommentText"/>
      </w:pPr>
      <w:r>
        <w:rPr>
          <w:rStyle w:val="CommentReference"/>
        </w:rPr>
        <w:annotationRef/>
      </w:r>
      <w:r>
        <w:t>Change overdose</w:t>
      </w:r>
    </w:p>
  </w:comment>
  <w:comment w:id="62" w:author="Miao, Benpeng" w:date="2022-09-12T14:47:00Z" w:initials="MB">
    <w:p w14:paraId="70BFACB3" w14:textId="7C88FC82" w:rsidR="00E15AF4" w:rsidRDefault="00E15AF4">
      <w:pPr>
        <w:pStyle w:val="CommentText"/>
      </w:pPr>
      <w:r>
        <w:rPr>
          <w:rStyle w:val="CommentReference"/>
        </w:rPr>
        <w:annotationRef/>
      </w:r>
      <w:r>
        <w:t>In PCA space</w:t>
      </w:r>
    </w:p>
  </w:comment>
  <w:comment w:id="63" w:author="Miao, Benpeng" w:date="2022-09-12T14:52:00Z" w:initials="MB">
    <w:p w14:paraId="122F737B" w14:textId="2454D727" w:rsidR="00BF35E7" w:rsidRDefault="00BF35E7">
      <w:pPr>
        <w:pStyle w:val="CommentText"/>
      </w:pPr>
      <w:r>
        <w:rPr>
          <w:rStyle w:val="CommentReference"/>
        </w:rPr>
        <w:annotationRef/>
      </w:r>
      <w:r>
        <w:t>Change title and mention the limitation</w:t>
      </w:r>
    </w:p>
  </w:comment>
  <w:comment w:id="66" w:author="Miao, Benpeng" w:date="2023-02-07T22:28:00Z" w:initials="MB">
    <w:p w14:paraId="3A1DDB8D" w14:textId="0E500B0C" w:rsidR="00941469" w:rsidRPr="00941469" w:rsidRDefault="00941469" w:rsidP="00941469">
      <w:pPr>
        <w:jc w:val="both"/>
        <w:rPr>
          <w:rFonts w:ascii="Arial" w:hAnsi="Arial" w:cs="Arial"/>
          <w:b/>
          <w:bCs/>
          <w:color w:val="7030A0"/>
          <w:sz w:val="22"/>
          <w:szCs w:val="22"/>
        </w:rPr>
      </w:pPr>
      <w:r>
        <w:rPr>
          <w:rStyle w:val="CommentReference"/>
        </w:rPr>
        <w:annotationRef/>
      </w:r>
      <w:r w:rsidRPr="00941469">
        <w:rPr>
          <w:rFonts w:ascii="Arial" w:hAnsi="Arial" w:cs="Arial"/>
          <w:b/>
          <w:bCs/>
          <w:color w:val="7030A0"/>
          <w:sz w:val="22"/>
          <w:szCs w:val="22"/>
        </w:rPr>
        <w:t>Form AM</w:t>
      </w:r>
      <w:r w:rsidR="00F549E0">
        <w:rPr>
          <w:rFonts w:ascii="Arial" w:hAnsi="Arial" w:cs="Arial"/>
          <w:b/>
          <w:bCs/>
          <w:color w:val="7030A0"/>
          <w:sz w:val="22"/>
          <w:szCs w:val="22"/>
        </w:rPr>
        <w:t>,</w:t>
      </w:r>
    </w:p>
    <w:p w14:paraId="05D6BDB6" w14:textId="3F83B0AE" w:rsidR="00941469" w:rsidRDefault="00941469" w:rsidP="00941469">
      <w:pPr>
        <w:jc w:val="both"/>
        <w:rPr>
          <w:rFonts w:ascii="Arial" w:hAnsi="Arial" w:cs="Arial"/>
          <w:color w:val="7030A0"/>
          <w:sz w:val="22"/>
          <w:szCs w:val="22"/>
        </w:rPr>
      </w:pPr>
      <w:r w:rsidRPr="002222F6">
        <w:rPr>
          <w:rFonts w:ascii="Arial" w:hAnsi="Arial" w:cs="Arial"/>
          <w:color w:val="7030A0"/>
          <w:sz w:val="22"/>
          <w:szCs w:val="22"/>
        </w:rPr>
        <w:t xml:space="preserve">(Re: A): As I mentioned above, we should admit that this model does not exactly mimic human METH use which is chronic. However, it is an established model to study METH </w:t>
      </w:r>
      <w:proofErr w:type="spellStart"/>
      <w:r w:rsidRPr="002222F6">
        <w:rPr>
          <w:rFonts w:ascii="Arial" w:hAnsi="Arial" w:cs="Arial"/>
          <w:color w:val="7030A0"/>
          <w:sz w:val="22"/>
          <w:szCs w:val="22"/>
        </w:rPr>
        <w:t>neuotoxicity</w:t>
      </w:r>
      <w:proofErr w:type="spellEnd"/>
      <w:r w:rsidRPr="002222F6">
        <w:rPr>
          <w:rFonts w:ascii="Arial" w:hAnsi="Arial" w:cs="Arial"/>
          <w:color w:val="7030A0"/>
          <w:sz w:val="22"/>
          <w:szCs w:val="22"/>
        </w:rPr>
        <w:t xml:space="preserve"> in the brain and to look at regional differences. Our study is interesting research because METH is neurotoxic to selective brain areas (mainly to striatum, prefrontal cortex, hippocampus, and amygdala). The nucleus </w:t>
      </w:r>
      <w:proofErr w:type="spellStart"/>
      <w:r w:rsidRPr="002222F6">
        <w:rPr>
          <w:rFonts w:ascii="Arial" w:hAnsi="Arial" w:cs="Arial"/>
          <w:color w:val="7030A0"/>
          <w:sz w:val="22"/>
          <w:szCs w:val="22"/>
        </w:rPr>
        <w:t>accumbens</w:t>
      </w:r>
      <w:proofErr w:type="spellEnd"/>
      <w:r w:rsidRPr="002222F6">
        <w:rPr>
          <w:rFonts w:ascii="Arial" w:hAnsi="Arial" w:cs="Arial"/>
          <w:color w:val="7030A0"/>
          <w:sz w:val="22"/>
          <w:szCs w:val="22"/>
        </w:rPr>
        <w:t xml:space="preserve"> and other areas is somewhat resistant to METH neurotoxicity. It is not quite clear why. Generally, the more dopaminergic innervation the more neurotoxicity. However, the nucleus </w:t>
      </w:r>
      <w:proofErr w:type="spellStart"/>
      <w:r w:rsidRPr="002222F6">
        <w:rPr>
          <w:rFonts w:ascii="Arial" w:hAnsi="Arial" w:cs="Arial"/>
          <w:color w:val="7030A0"/>
          <w:sz w:val="22"/>
          <w:szCs w:val="22"/>
        </w:rPr>
        <w:t>accumbens</w:t>
      </w:r>
      <w:proofErr w:type="spellEnd"/>
      <w:r w:rsidRPr="002222F6">
        <w:rPr>
          <w:rFonts w:ascii="Arial" w:hAnsi="Arial" w:cs="Arial"/>
          <w:color w:val="7030A0"/>
          <w:sz w:val="22"/>
          <w:szCs w:val="22"/>
        </w:rPr>
        <w:t xml:space="preserve"> has quite substantial dopaminergic innervation and it’s relatively resistant to METH neurotoxicity. It would be nice to determine why. Regarding citations, we can cite many references on the consequences of binge METH regimen or we can cite the reviews I mentioned earlier Jayanthi et al 2021 and </w:t>
      </w:r>
      <w:proofErr w:type="spellStart"/>
      <w:r w:rsidRPr="002222F6">
        <w:rPr>
          <w:rFonts w:ascii="Arial" w:hAnsi="Arial" w:cs="Arial"/>
          <w:color w:val="7030A0"/>
          <w:sz w:val="22"/>
          <w:szCs w:val="22"/>
        </w:rPr>
        <w:t>Moszczynska</w:t>
      </w:r>
      <w:proofErr w:type="spellEnd"/>
      <w:r w:rsidRPr="002222F6">
        <w:rPr>
          <w:rFonts w:ascii="Arial" w:hAnsi="Arial" w:cs="Arial"/>
          <w:color w:val="7030A0"/>
          <w:sz w:val="22"/>
          <w:szCs w:val="22"/>
        </w:rPr>
        <w:t xml:space="preserve"> and Callan 2017.</w:t>
      </w:r>
    </w:p>
    <w:p w14:paraId="1A38A598" w14:textId="77777777" w:rsidR="00941469" w:rsidRPr="002222F6" w:rsidRDefault="00941469" w:rsidP="00941469">
      <w:pPr>
        <w:jc w:val="both"/>
        <w:rPr>
          <w:rFonts w:ascii="Arial" w:hAnsi="Arial" w:cs="Arial"/>
          <w:color w:val="7030A0"/>
          <w:sz w:val="22"/>
          <w:szCs w:val="22"/>
        </w:rPr>
      </w:pPr>
    </w:p>
    <w:p w14:paraId="0A356DB9" w14:textId="77777777" w:rsidR="00941469" w:rsidRPr="002222F6" w:rsidRDefault="00941469" w:rsidP="00941469">
      <w:pPr>
        <w:jc w:val="both"/>
        <w:rPr>
          <w:rFonts w:ascii="Arial" w:hAnsi="Arial" w:cs="Arial"/>
          <w:color w:val="7030A0"/>
          <w:sz w:val="22"/>
          <w:szCs w:val="22"/>
        </w:rPr>
      </w:pPr>
      <w:r w:rsidRPr="002222F6">
        <w:rPr>
          <w:rFonts w:ascii="Arial" w:hAnsi="Arial" w:cs="Arial"/>
          <w:color w:val="7030A0"/>
          <w:sz w:val="22"/>
          <w:szCs w:val="22"/>
        </w:rPr>
        <w:t xml:space="preserve">(Re: B): Bo, majority of the studies with 4x10mg/kg METH call this regiment “METH binge” or “neurotoxic METH regiment”. The term “overdose” is not commonly used in these studies and people think of overdose when a person or laboratory animal self-administers high METH doses. On the other hand, this regiment is neurotoxic to the brain and METH overdose in humans chronically misusing METH causes neurotoxicity. So, we can call this regiment “acute METH overdose” or “neurotoxic METH regiment”. Regarding measurement METH overdose (I provided overdose definition in one of the earlier responses), hyperthermia is an indicator of METH neurotoxicity: the higher hyperthermia the higher neurotoxicity (Bowyer et al. 1992, 1994). All METH-treated rats in our study reached 39C indicating neurotoxicity. </w:t>
      </w:r>
    </w:p>
    <w:p w14:paraId="528431BD" w14:textId="3EBEF9D8" w:rsidR="00941469" w:rsidRDefault="00941469">
      <w:pPr>
        <w:pStyle w:val="CommentText"/>
      </w:pPr>
    </w:p>
  </w:comment>
  <w:comment w:id="67" w:author="Miao, Benpeng" w:date="2022-09-12T14:58:00Z" w:initials="MB">
    <w:p w14:paraId="206EE058" w14:textId="74372834" w:rsidR="00AE7DA4" w:rsidRDefault="00AE7DA4">
      <w:pPr>
        <w:pStyle w:val="CommentText"/>
      </w:pPr>
      <w:r>
        <w:rPr>
          <w:rStyle w:val="CommentReference"/>
        </w:rPr>
        <w:annotationRef/>
      </w:r>
      <w:r w:rsidR="003179EA">
        <w:t>detailed information</w:t>
      </w:r>
    </w:p>
  </w:comment>
  <w:comment w:id="68" w:author="Miao, Benpeng" w:date="2022-09-12T14:59:00Z" w:initials="MB">
    <w:p w14:paraId="3AC39B8C" w14:textId="122FD4BC" w:rsidR="003179EA" w:rsidRDefault="003179EA">
      <w:pPr>
        <w:pStyle w:val="CommentText"/>
      </w:pPr>
      <w:r>
        <w:rPr>
          <w:rStyle w:val="CommentReference"/>
        </w:rPr>
        <w:annotationRef/>
      </w:r>
      <w:r>
        <w:t>explain the different cutoff</w:t>
      </w:r>
    </w:p>
  </w:comment>
  <w:comment w:id="71" w:author="Miao, Benpeng" w:date="2023-02-08T10:04:00Z" w:initials="MB">
    <w:p w14:paraId="2EE95D00" w14:textId="58166D9B" w:rsidR="003D2746" w:rsidRDefault="003D2746">
      <w:pPr>
        <w:pStyle w:val="CommentText"/>
      </w:pPr>
      <w:r>
        <w:rPr>
          <w:rStyle w:val="CommentReference"/>
        </w:rPr>
        <w:annotationRef/>
      </w:r>
      <w:r>
        <w:rPr>
          <w:color w:val="7030A0"/>
        </w:rPr>
        <w:t>After dissection, tissue pieces were immediately fast-frozen and stored at -80C. Subsequently, they were shipped on dry ice for analyses.</w:t>
      </w:r>
    </w:p>
  </w:comment>
  <w:comment w:id="74" w:author="Miao, Benpeng" w:date="2022-09-12T15:02:00Z" w:initials="MB">
    <w:p w14:paraId="6C1ACC59" w14:textId="3E000D6C" w:rsidR="004D7EBD" w:rsidRDefault="004D7EBD">
      <w:pPr>
        <w:pStyle w:val="CommentText"/>
      </w:pPr>
      <w:r>
        <w:rPr>
          <w:rStyle w:val="CommentReference"/>
        </w:rPr>
        <w:annotationRef/>
      </w:r>
      <w:r>
        <w:t>experiment how to avoid the batch effect</w:t>
      </w:r>
    </w:p>
  </w:comment>
  <w:comment w:id="75" w:author="Miao, Benpeng" w:date="2023-02-08T10:25:00Z" w:initials="MB">
    <w:p w14:paraId="38E5B65D" w14:textId="77777777" w:rsidR="003928E3" w:rsidRPr="009D4AAA" w:rsidRDefault="003928E3" w:rsidP="003928E3">
      <w:pPr>
        <w:jc w:val="both"/>
        <w:rPr>
          <w:color w:val="70AD47" w:themeColor="accent6"/>
        </w:rPr>
      </w:pPr>
      <w:r>
        <w:rPr>
          <w:rStyle w:val="CommentReference"/>
        </w:rPr>
        <w:annotationRef/>
      </w:r>
      <w:r w:rsidRPr="009D4AAA">
        <w:rPr>
          <w:color w:val="70AD47" w:themeColor="accent6"/>
        </w:rPr>
        <w:t xml:space="preserve">AM: Bo, this is a question for you as I don’t know how you did </w:t>
      </w:r>
      <w:r>
        <w:rPr>
          <w:color w:val="70AD47" w:themeColor="accent6"/>
        </w:rPr>
        <w:t xml:space="preserve">run </w:t>
      </w:r>
      <w:r w:rsidRPr="009D4AAA">
        <w:rPr>
          <w:color w:val="70AD47" w:themeColor="accent6"/>
        </w:rPr>
        <w:t>the analyses.</w:t>
      </w:r>
    </w:p>
    <w:p w14:paraId="38A9F880" w14:textId="6BAF232F" w:rsidR="003928E3" w:rsidRDefault="003928E3">
      <w:pPr>
        <w:pStyle w:val="CommentText"/>
      </w:pPr>
    </w:p>
  </w:comment>
  <w:comment w:id="78" w:author="Miao, Benpeng" w:date="2022-09-12T15:07:00Z" w:initials="MB">
    <w:p w14:paraId="110A2F0C" w14:textId="2A205078" w:rsidR="004D7EBD" w:rsidRDefault="004D7EBD">
      <w:pPr>
        <w:pStyle w:val="CommentText"/>
      </w:pPr>
      <w:r>
        <w:rPr>
          <w:rStyle w:val="CommentReference"/>
        </w:rPr>
        <w:annotationRef/>
      </w:r>
      <w:r>
        <w:rPr>
          <w:rFonts w:hint="eastAsia"/>
        </w:rPr>
        <w:t>inte</w:t>
      </w:r>
      <w:r>
        <w:t>grate ATAC-</w:t>
      </w:r>
      <w:proofErr w:type="spellStart"/>
      <w:r>
        <w:t>seq</w:t>
      </w:r>
      <w:proofErr w:type="spellEnd"/>
      <w:r>
        <w:t xml:space="preserve"> and RNA-</w:t>
      </w:r>
      <w:proofErr w:type="spellStart"/>
      <w:r>
        <w:t>seq</w:t>
      </w:r>
      <w:proofErr w:type="spellEnd"/>
      <w:r>
        <w:t xml:space="preserve"> data</w:t>
      </w:r>
    </w:p>
  </w:comment>
  <w:comment w:id="79" w:author="Miao, Benpeng" w:date="2022-09-12T15:08:00Z" w:initials="MB">
    <w:p w14:paraId="1B9D14DD" w14:textId="4992AD8C" w:rsidR="00AC243B" w:rsidRDefault="00AC243B">
      <w:pPr>
        <w:pStyle w:val="CommentText"/>
      </w:pPr>
      <w:r>
        <w:rPr>
          <w:rStyle w:val="CommentReference"/>
        </w:rPr>
        <w:annotationRef/>
      </w:r>
      <w:r>
        <w:t>tables for DEGs and DARs</w:t>
      </w:r>
    </w:p>
  </w:comment>
  <w:comment w:id="80" w:author="Miao, Benpeng" w:date="2023-02-08T10:58:00Z" w:initials="MB">
    <w:p w14:paraId="11DFF912" w14:textId="165ADBC0" w:rsidR="00E63231" w:rsidRDefault="00E63231" w:rsidP="00E63231">
      <w:pPr>
        <w:jc w:val="both"/>
        <w:rPr>
          <w:color w:val="7030A0"/>
        </w:rPr>
      </w:pPr>
      <w:r>
        <w:rPr>
          <w:rStyle w:val="CommentReference"/>
        </w:rPr>
        <w:annotationRef/>
      </w:r>
      <w:r w:rsidRPr="00E63231">
        <w:rPr>
          <w:b/>
          <w:color w:val="70AD47" w:themeColor="accent6"/>
        </w:rPr>
        <w:t>form AM</w:t>
      </w:r>
      <w:r w:rsidRPr="00C902A8">
        <w:rPr>
          <w:color w:val="70AD47" w:themeColor="accent6"/>
        </w:rPr>
        <w:t xml:space="preserve">: Bo, to address this, I would compare dentate gyrus/SGZ to SVZ because both are neurogenic brain areas and then I’d compare the nucleus </w:t>
      </w:r>
      <w:proofErr w:type="spellStart"/>
      <w:r w:rsidRPr="00C902A8">
        <w:rPr>
          <w:color w:val="70AD47" w:themeColor="accent6"/>
        </w:rPr>
        <w:t>accumbens</w:t>
      </w:r>
      <w:proofErr w:type="spellEnd"/>
      <w:r w:rsidRPr="00C902A8">
        <w:rPr>
          <w:color w:val="70AD47" w:themeColor="accent6"/>
        </w:rPr>
        <w:t xml:space="preserve"> with the Ammon’s horn (hippocampus) as they are not neurogenic areas and they both have dopaminergic innervations important in METH neurotoxicity.</w:t>
      </w:r>
      <w:r>
        <w:rPr>
          <w:color w:val="70AD47" w:themeColor="accent6"/>
        </w:rPr>
        <w:t xml:space="preserve"> This presentation of the result would be less overwhelming to the readers. Also, it would be easier for us to discuss in relation to METH neurotoxicity. </w:t>
      </w:r>
      <w:r>
        <w:rPr>
          <w:color w:val="7030A0"/>
        </w:rPr>
        <w:t xml:space="preserve">Regarding METH neurotoxicity in the 4 areas, METH induces cell death in Ammons horn, SGZ/DG, and SVZ but not in the </w:t>
      </w:r>
      <w:proofErr w:type="spellStart"/>
      <w:r>
        <w:rPr>
          <w:color w:val="7030A0"/>
        </w:rPr>
        <w:t>NAc</w:t>
      </w:r>
      <w:proofErr w:type="spellEnd"/>
      <w:r>
        <w:rPr>
          <w:color w:val="7030A0"/>
        </w:rPr>
        <w:t xml:space="preserve">. We could compare the </w:t>
      </w:r>
      <w:proofErr w:type="spellStart"/>
      <w:r>
        <w:rPr>
          <w:color w:val="7030A0"/>
        </w:rPr>
        <w:t>NAc</w:t>
      </w:r>
      <w:proofErr w:type="spellEnd"/>
      <w:r>
        <w:rPr>
          <w:color w:val="7030A0"/>
        </w:rPr>
        <w:t xml:space="preserve"> responses to responses of other brain areas. That will shed light on relative resistance of the </w:t>
      </w:r>
      <w:proofErr w:type="spellStart"/>
      <w:r>
        <w:rPr>
          <w:color w:val="7030A0"/>
        </w:rPr>
        <w:t>NAc</w:t>
      </w:r>
      <w:proofErr w:type="spellEnd"/>
      <w:r>
        <w:rPr>
          <w:color w:val="7030A0"/>
        </w:rPr>
        <w:t xml:space="preserve"> to METH neurotoxicity.</w:t>
      </w:r>
    </w:p>
    <w:p w14:paraId="5862E641" w14:textId="77777777" w:rsidR="00E63231" w:rsidRPr="00C4330B" w:rsidRDefault="00E63231" w:rsidP="00E63231">
      <w:pPr>
        <w:jc w:val="both"/>
        <w:rPr>
          <w:color w:val="7030A0"/>
        </w:rPr>
      </w:pPr>
      <w:r>
        <w:rPr>
          <w:color w:val="7030A0"/>
        </w:rPr>
        <w:t xml:space="preserve">Demyelination markers can be explained in Ammons horn and </w:t>
      </w:r>
      <w:proofErr w:type="spellStart"/>
      <w:r>
        <w:rPr>
          <w:color w:val="7030A0"/>
        </w:rPr>
        <w:t>NAc</w:t>
      </w:r>
      <w:proofErr w:type="spellEnd"/>
      <w:r>
        <w:rPr>
          <w:color w:val="7030A0"/>
        </w:rPr>
        <w:t xml:space="preserve"> as they are mature neurons in these brain areas. Demyelination was shown in the Ammons horn previously.</w:t>
      </w:r>
    </w:p>
    <w:p w14:paraId="2C4425CB" w14:textId="4D6AB649" w:rsidR="00E63231" w:rsidRDefault="00E63231">
      <w:pPr>
        <w:pStyle w:val="CommentText"/>
      </w:pPr>
    </w:p>
  </w:comment>
  <w:comment w:id="83" w:author="Miao, Benpeng" w:date="2023-02-08T10:59:00Z" w:initials="MB">
    <w:p w14:paraId="1FEC4A3B" w14:textId="70AFBB8A" w:rsidR="00E63231" w:rsidRDefault="00E63231" w:rsidP="00E63231">
      <w:pPr>
        <w:jc w:val="both"/>
        <w:rPr>
          <w:color w:val="7030A0"/>
        </w:rPr>
      </w:pPr>
      <w:r>
        <w:rPr>
          <w:rStyle w:val="CommentReference"/>
        </w:rPr>
        <w:annotationRef/>
      </w:r>
      <w:r>
        <w:rPr>
          <w:b/>
          <w:color w:val="70AD47" w:themeColor="accent6"/>
        </w:rPr>
        <w:t xml:space="preserve"> </w:t>
      </w:r>
      <w:r w:rsidRPr="00E63231">
        <w:rPr>
          <w:b/>
          <w:color w:val="70AD47" w:themeColor="accent6"/>
        </w:rPr>
        <w:t>From AM</w:t>
      </w:r>
      <w:r w:rsidRPr="009D4AAA">
        <w:rPr>
          <w:color w:val="70AD47" w:themeColor="accent6"/>
        </w:rPr>
        <w:t>: I agree with the reviewer</w:t>
      </w:r>
      <w:r>
        <w:rPr>
          <w:color w:val="70AD47" w:themeColor="accent6"/>
        </w:rPr>
        <w:t xml:space="preserve"> again</w:t>
      </w:r>
      <w:r w:rsidRPr="009D4AAA">
        <w:rPr>
          <w:color w:val="70AD47" w:themeColor="accent6"/>
        </w:rPr>
        <w:t>. I think I mentioned before manuscript submission that we need to “make a story”</w:t>
      </w:r>
      <w:r>
        <w:rPr>
          <w:color w:val="70AD47" w:themeColor="accent6"/>
        </w:rPr>
        <w:t xml:space="preserve"> and not just state the data with limited explanation what that means. </w:t>
      </w:r>
      <w:r>
        <w:rPr>
          <w:color w:val="7030A0"/>
        </w:rPr>
        <w:t>As I stated above, I would compare:</w:t>
      </w:r>
    </w:p>
    <w:p w14:paraId="46E86F75" w14:textId="77777777" w:rsidR="00E63231" w:rsidRDefault="00E63231" w:rsidP="00E63231">
      <w:pPr>
        <w:jc w:val="both"/>
        <w:rPr>
          <w:color w:val="7030A0"/>
        </w:rPr>
      </w:pPr>
      <w:r>
        <w:rPr>
          <w:color w:val="7030A0"/>
        </w:rPr>
        <w:t xml:space="preserve">--responses of immature/proliferating vs mature/non-proliferating cells (SGZ/DG/SVZ vs </w:t>
      </w:r>
      <w:proofErr w:type="spellStart"/>
      <w:r>
        <w:rPr>
          <w:color w:val="7030A0"/>
        </w:rPr>
        <w:t>NAc</w:t>
      </w:r>
      <w:proofErr w:type="spellEnd"/>
      <w:r>
        <w:rPr>
          <w:color w:val="7030A0"/>
        </w:rPr>
        <w:t>/Ammons horn),</w:t>
      </w:r>
    </w:p>
    <w:p w14:paraId="5E08B3EB" w14:textId="77777777" w:rsidR="00E63231" w:rsidRDefault="00E63231" w:rsidP="00E63231">
      <w:pPr>
        <w:jc w:val="both"/>
        <w:rPr>
          <w:color w:val="7030A0"/>
        </w:rPr>
      </w:pPr>
      <w:r>
        <w:rPr>
          <w:color w:val="7030A0"/>
        </w:rPr>
        <w:t xml:space="preserve">--responses of METH neurotoxicity susceptible vs non-susceptible cells (Ammons horn vs </w:t>
      </w:r>
      <w:proofErr w:type="spellStart"/>
      <w:r>
        <w:rPr>
          <w:color w:val="7030A0"/>
        </w:rPr>
        <w:t>NAc</w:t>
      </w:r>
      <w:proofErr w:type="spellEnd"/>
      <w:r>
        <w:rPr>
          <w:color w:val="7030A0"/>
        </w:rPr>
        <w:t>),</w:t>
      </w:r>
    </w:p>
    <w:p w14:paraId="0EEB251A" w14:textId="77777777" w:rsidR="00E63231" w:rsidRDefault="00E63231" w:rsidP="00E63231">
      <w:pPr>
        <w:jc w:val="both"/>
        <w:rPr>
          <w:color w:val="7030A0"/>
        </w:rPr>
      </w:pPr>
      <w:r>
        <w:rPr>
          <w:color w:val="7030A0"/>
        </w:rPr>
        <w:t xml:space="preserve">--responses of dopamine-rich to dopamine-poor areas. </w:t>
      </w:r>
    </w:p>
    <w:p w14:paraId="6DFB0B0B" w14:textId="77777777" w:rsidR="00E63231" w:rsidRPr="00D4050F" w:rsidRDefault="00E63231" w:rsidP="00E63231">
      <w:pPr>
        <w:jc w:val="both"/>
        <w:rPr>
          <w:color w:val="7030A0"/>
        </w:rPr>
      </w:pPr>
    </w:p>
    <w:p w14:paraId="52E39277" w14:textId="77777777" w:rsidR="00E63231" w:rsidRPr="00390D4C" w:rsidRDefault="00E63231" w:rsidP="00E63231">
      <w:pPr>
        <w:jc w:val="both"/>
        <w:rPr>
          <w:color w:val="0070C0"/>
        </w:rPr>
      </w:pPr>
      <w:r w:rsidRPr="00D4050F">
        <w:rPr>
          <w:color w:val="0070C0"/>
        </w:rPr>
        <w:t xml:space="preserve">I think </w:t>
      </w:r>
      <w:r>
        <w:rPr>
          <w:color w:val="0070C0"/>
        </w:rPr>
        <w:t xml:space="preserve">that the reviewer wants us to clearly state what our </w:t>
      </w:r>
      <w:r w:rsidRPr="00754F5C">
        <w:rPr>
          <w:color w:val="0070C0"/>
        </w:rPr>
        <w:t>major findings is</w:t>
      </w:r>
      <w:r>
        <w:rPr>
          <w:color w:val="0070C0"/>
        </w:rPr>
        <w:t xml:space="preserve"> and how it adds to already existing knowledge on METH neurotoxicity</w:t>
      </w:r>
      <w:r w:rsidRPr="00754F5C">
        <w:rPr>
          <w:color w:val="0070C0"/>
        </w:rPr>
        <w:t>.</w:t>
      </w:r>
    </w:p>
    <w:p w14:paraId="1A6AE7D5" w14:textId="124C9B3E" w:rsidR="00E63231" w:rsidRDefault="00E63231">
      <w:pPr>
        <w:pStyle w:val="CommentText"/>
      </w:pPr>
    </w:p>
  </w:comment>
  <w:comment w:id="84" w:author="Miao, Benpeng" w:date="2023-02-08T11:05:00Z" w:initials="MB">
    <w:p w14:paraId="2DA85F0C" w14:textId="56A1AFCF" w:rsidR="00E63231" w:rsidRPr="00390D4C" w:rsidRDefault="00E63231" w:rsidP="00E63231">
      <w:pPr>
        <w:jc w:val="both"/>
        <w:rPr>
          <w:color w:val="0070C0"/>
        </w:rPr>
      </w:pPr>
      <w:r>
        <w:rPr>
          <w:rStyle w:val="CommentReference"/>
        </w:rPr>
        <w:annotationRef/>
      </w:r>
      <w:r w:rsidRPr="00E63231">
        <w:rPr>
          <w:b/>
          <w:color w:val="70AD47" w:themeColor="accent6"/>
        </w:rPr>
        <w:t>From AM</w:t>
      </w:r>
      <w:r w:rsidRPr="009D4AAA">
        <w:rPr>
          <w:color w:val="70AD47" w:themeColor="accent6"/>
        </w:rPr>
        <w:t>: I agree with the reviewer.</w:t>
      </w:r>
      <w:r>
        <w:rPr>
          <w:color w:val="70AD47" w:themeColor="accent6"/>
        </w:rPr>
        <w:t xml:space="preserve"> </w:t>
      </w:r>
      <w:r>
        <w:rPr>
          <w:color w:val="7030A0"/>
        </w:rPr>
        <w:t>Our results are not surprising. Regarding the rationale for our studies, we say the rationale was to assess simultaneously the responses of different regions to METH neurotoxic regiment</w:t>
      </w:r>
      <w:proofErr w:type="gramStart"/>
      <w:r>
        <w:rPr>
          <w:color w:val="7030A0"/>
        </w:rPr>
        <w:t>/“</w:t>
      </w:r>
      <w:proofErr w:type="gramEnd"/>
      <w:r>
        <w:rPr>
          <w:color w:val="7030A0"/>
        </w:rPr>
        <w:t>overdose”/binge at the same time (24h). We could strengthen this rationale and say that because these 4 regions differ in sensitivities to METH neurotoxicity, and functions in the brain, we wanted to compare them to potentially elucidate mechanism underlying the differences.</w:t>
      </w:r>
    </w:p>
    <w:p w14:paraId="29F39DC5" w14:textId="01F84CD6" w:rsidR="00E63231" w:rsidRDefault="00E63231">
      <w:pPr>
        <w:pStyle w:val="CommentText"/>
      </w:pPr>
    </w:p>
  </w:comment>
  <w:comment w:id="85" w:author="Miao, Benpeng" w:date="2023-02-08T11:09:00Z" w:initials="MB">
    <w:p w14:paraId="1E88E2F0" w14:textId="329A105F" w:rsidR="00AB52BA" w:rsidRPr="00123F9B" w:rsidRDefault="00AB52BA" w:rsidP="00AB52BA">
      <w:pPr>
        <w:jc w:val="both"/>
        <w:rPr>
          <w:color w:val="7030A0"/>
        </w:rPr>
      </w:pPr>
      <w:r>
        <w:rPr>
          <w:rStyle w:val="CommentReference"/>
        </w:rPr>
        <w:annotationRef/>
      </w:r>
      <w:r w:rsidRPr="00AB52BA">
        <w:rPr>
          <w:b/>
          <w:color w:val="70AD47" w:themeColor="accent6"/>
        </w:rPr>
        <w:t>From AM:</w:t>
      </w:r>
      <w:r w:rsidRPr="009D4AAA">
        <w:rPr>
          <w:color w:val="70AD47" w:themeColor="accent6"/>
        </w:rPr>
        <w:t xml:space="preserve"> I agree with the reviewer. Single binge METH does not reflect addictive behavior at all. </w:t>
      </w:r>
      <w:r>
        <w:rPr>
          <w:color w:val="70AD47" w:themeColor="accent6"/>
        </w:rPr>
        <w:t>METH s</w:t>
      </w:r>
      <w:r w:rsidRPr="009D4AAA">
        <w:rPr>
          <w:color w:val="70AD47" w:themeColor="accent6"/>
        </w:rPr>
        <w:t xml:space="preserve">elf-administration </w:t>
      </w:r>
      <w:r>
        <w:rPr>
          <w:color w:val="70AD47" w:themeColor="accent6"/>
        </w:rPr>
        <w:t>paradigm</w:t>
      </w:r>
      <w:r w:rsidRPr="009D4AAA">
        <w:rPr>
          <w:color w:val="70AD47" w:themeColor="accent6"/>
        </w:rPr>
        <w:t xml:space="preserve"> does. The 4x10mg/kg METH every 2h is an established model of METH neurotoxicity not METH addiction.</w:t>
      </w:r>
      <w:r>
        <w:rPr>
          <w:color w:val="70AD47" w:themeColor="accent6"/>
        </w:rPr>
        <w:t xml:space="preserve"> </w:t>
      </w:r>
      <w:r>
        <w:rPr>
          <w:color w:val="7030A0"/>
        </w:rPr>
        <w:t xml:space="preserve">On the other hand, we could call it an overdose according to the definition I provided earlier, which includes one-time taking a high dose of a drug that causes negative physical and psychological symptoms. Admittedly, in humans, an overdose means taking an excess of a drug while using this drug chronically. As I said before we can state that we study METH neurotoxicity using an established model of it. Chronic administration of high METH doses will produce similar results. Of note, chronic METH will be less neurotoxic due to development of some tolerance to METH neurotoxicity (e.g., my paper from 1996). </w:t>
      </w:r>
      <w:r w:rsidRPr="00D44119">
        <w:rPr>
          <w:color w:val="7030A0"/>
        </w:rPr>
        <w:t xml:space="preserve">We should not relate our results to METH addiction, only to METH </w:t>
      </w:r>
      <w:bookmarkStart w:id="86" w:name="OLE_LINK61"/>
      <w:bookmarkStart w:id="87" w:name="OLE_LINK62"/>
      <w:r w:rsidRPr="00D44119">
        <w:rPr>
          <w:color w:val="7030A0"/>
        </w:rPr>
        <w:t>neurotoxicity</w:t>
      </w:r>
      <w:bookmarkEnd w:id="86"/>
      <w:bookmarkEnd w:id="87"/>
      <w:r w:rsidRPr="00D44119">
        <w:rPr>
          <w:color w:val="7030A0"/>
        </w:rPr>
        <w:t>.</w:t>
      </w:r>
    </w:p>
    <w:p w14:paraId="50EC150C" w14:textId="0BF058BC" w:rsidR="00AB52BA" w:rsidRDefault="00AB52BA">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0C65C3A" w15:done="0"/>
  <w15:commentEx w15:paraId="7C63D048" w15:done="0"/>
  <w15:commentEx w15:paraId="20A4B492" w15:done="0"/>
  <w15:commentEx w15:paraId="47E2E9CA" w15:done="0"/>
  <w15:commentEx w15:paraId="346C791F" w15:done="0"/>
  <w15:commentEx w15:paraId="39F0CC8A" w15:done="0"/>
  <w15:commentEx w15:paraId="36279E13" w15:done="0"/>
  <w15:commentEx w15:paraId="0B9B6F71" w15:done="0"/>
  <w15:commentEx w15:paraId="6BE868AC" w15:done="0"/>
  <w15:commentEx w15:paraId="1DEAB7EE" w15:done="0"/>
  <w15:commentEx w15:paraId="70BFACB3" w15:done="0"/>
  <w15:commentEx w15:paraId="122F737B" w15:done="0"/>
  <w15:commentEx w15:paraId="528431BD" w15:done="0"/>
  <w15:commentEx w15:paraId="206EE058" w15:done="0"/>
  <w15:commentEx w15:paraId="3AC39B8C" w15:done="0"/>
  <w15:commentEx w15:paraId="2EE95D00" w15:done="0"/>
  <w15:commentEx w15:paraId="6C1ACC59" w15:done="0"/>
  <w15:commentEx w15:paraId="38A9F880" w15:done="0"/>
  <w15:commentEx w15:paraId="110A2F0C" w15:done="0"/>
  <w15:commentEx w15:paraId="1B9D14DD" w15:done="0"/>
  <w15:commentEx w15:paraId="2C4425CB" w15:done="0"/>
  <w15:commentEx w15:paraId="1A6AE7D5" w15:done="0"/>
  <w15:commentEx w15:paraId="29F39DC5" w15:done="0"/>
  <w15:commentEx w15:paraId="50EC15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0D6447" w16cex:dateUtc="2022-11-03T02:48:00Z"/>
  <w16cex:commentExtensible w16cex:durableId="278BF270" w16cex:dateUtc="2023-02-07T03:41:00Z"/>
  <w16cex:commentExtensible w16cex:durableId="278D4EFA" w16cex:dateUtc="2023-02-08T04: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0C65C3A" w16cid:durableId="270D6447"/>
  <w16cid:commentId w16cid:paraId="7C63D048" w16cid:durableId="26D428F1"/>
  <w16cid:commentId w16cid:paraId="20A4B492" w16cid:durableId="278BF270"/>
  <w16cid:commentId w16cid:paraId="47E2E9CA" w16cid:durableId="26C9C193"/>
  <w16cid:commentId w16cid:paraId="346C791F" w16cid:durableId="278CA046"/>
  <w16cid:commentId w16cid:paraId="39F0CC8A" w16cid:durableId="26C9C1DD"/>
  <w16cid:commentId w16cid:paraId="36279E13" w16cid:durableId="278DEEFC"/>
  <w16cid:commentId w16cid:paraId="0B9B6F71" w16cid:durableId="26C9C2AE"/>
  <w16cid:commentId w16cid:paraId="6BE868AC" w16cid:durableId="26C9C380"/>
  <w16cid:commentId w16cid:paraId="1DEAB7EE" w16cid:durableId="26C9C4BF"/>
  <w16cid:commentId w16cid:paraId="70BFACB3" w16cid:durableId="26C9C4F9"/>
  <w16cid:commentId w16cid:paraId="122F737B" w16cid:durableId="26C9C620"/>
  <w16cid:commentId w16cid:paraId="528431BD" w16cid:durableId="278D4EFA"/>
  <w16cid:commentId w16cid:paraId="206EE058" w16cid:durableId="26C9C79E"/>
  <w16cid:commentId w16cid:paraId="3AC39B8C" w16cid:durableId="26C9C7C2"/>
  <w16cid:commentId w16cid:paraId="2EE95D00" w16cid:durableId="278DF230"/>
  <w16cid:commentId w16cid:paraId="6C1ACC59" w16cid:durableId="26C9C883"/>
  <w16cid:commentId w16cid:paraId="38A9F880" w16cid:durableId="278DF70D"/>
  <w16cid:commentId w16cid:paraId="110A2F0C" w16cid:durableId="26C9C995"/>
  <w16cid:commentId w16cid:paraId="1B9D14DD" w16cid:durableId="26C9C9F5"/>
  <w16cid:commentId w16cid:paraId="2C4425CB" w16cid:durableId="278DFEEF"/>
  <w16cid:commentId w16cid:paraId="1A6AE7D5" w16cid:durableId="278DFF2D"/>
  <w16cid:commentId w16cid:paraId="29F39DC5" w16cid:durableId="278E0092"/>
  <w16cid:commentId w16cid:paraId="50EC150C" w16cid:durableId="278E0156"/>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C22D1"/>
    <w:multiLevelType w:val="hybridMultilevel"/>
    <w:tmpl w:val="A58C9B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EE10B7"/>
    <w:multiLevelType w:val="hybridMultilevel"/>
    <w:tmpl w:val="FCC81B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8845984"/>
    <w:multiLevelType w:val="hybridMultilevel"/>
    <w:tmpl w:val="89167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512066A"/>
    <w:multiLevelType w:val="hybridMultilevel"/>
    <w:tmpl w:val="F28EE6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9682CFA"/>
    <w:multiLevelType w:val="hybridMultilevel"/>
    <w:tmpl w:val="F76C8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73F2D38"/>
    <w:multiLevelType w:val="hybridMultilevel"/>
    <w:tmpl w:val="436A98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AB27A92"/>
    <w:multiLevelType w:val="hybridMultilevel"/>
    <w:tmpl w:val="6880548E"/>
    <w:lvl w:ilvl="0" w:tplc="72F48F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5"/>
  </w:num>
  <w:num w:numId="4">
    <w:abstractNumId w:val="1"/>
  </w:num>
  <w:num w:numId="5">
    <w:abstractNumId w:val="2"/>
  </w:num>
  <w:num w:numId="6">
    <w:abstractNumId w:val="4"/>
  </w:num>
  <w:num w:numId="7">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ao, Benpeng">
    <w15:presenceInfo w15:providerId="AD" w15:userId="S::benpeng@wustl.edu::d60ce7f4-b787-4826-90b4-f0fe731259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7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B73"/>
    <w:rsid w:val="0001515E"/>
    <w:rsid w:val="000314DF"/>
    <w:rsid w:val="00033004"/>
    <w:rsid w:val="000402E4"/>
    <w:rsid w:val="00045C60"/>
    <w:rsid w:val="00077249"/>
    <w:rsid w:val="00091B7C"/>
    <w:rsid w:val="00097C72"/>
    <w:rsid w:val="000C7257"/>
    <w:rsid w:val="000F0AA5"/>
    <w:rsid w:val="000F476B"/>
    <w:rsid w:val="00103CBD"/>
    <w:rsid w:val="00135F99"/>
    <w:rsid w:val="00136E43"/>
    <w:rsid w:val="001379AC"/>
    <w:rsid w:val="001527E0"/>
    <w:rsid w:val="00154070"/>
    <w:rsid w:val="00161603"/>
    <w:rsid w:val="001664BE"/>
    <w:rsid w:val="00170673"/>
    <w:rsid w:val="001776DD"/>
    <w:rsid w:val="00180F64"/>
    <w:rsid w:val="001838A4"/>
    <w:rsid w:val="00186350"/>
    <w:rsid w:val="00186AF4"/>
    <w:rsid w:val="00192E49"/>
    <w:rsid w:val="001B3364"/>
    <w:rsid w:val="001C1B8A"/>
    <w:rsid w:val="001C4AC5"/>
    <w:rsid w:val="001D3CF2"/>
    <w:rsid w:val="001E0225"/>
    <w:rsid w:val="001F289A"/>
    <w:rsid w:val="001F4DE4"/>
    <w:rsid w:val="001F6799"/>
    <w:rsid w:val="00200964"/>
    <w:rsid w:val="00202906"/>
    <w:rsid w:val="002222F6"/>
    <w:rsid w:val="002357FF"/>
    <w:rsid w:val="00244E01"/>
    <w:rsid w:val="0025105F"/>
    <w:rsid w:val="00287671"/>
    <w:rsid w:val="0029302A"/>
    <w:rsid w:val="002975FC"/>
    <w:rsid w:val="002C7B2A"/>
    <w:rsid w:val="002E1D3C"/>
    <w:rsid w:val="002F0281"/>
    <w:rsid w:val="00315006"/>
    <w:rsid w:val="00315086"/>
    <w:rsid w:val="00316CAA"/>
    <w:rsid w:val="003179EA"/>
    <w:rsid w:val="00327FBC"/>
    <w:rsid w:val="00346DF8"/>
    <w:rsid w:val="003928E3"/>
    <w:rsid w:val="0039489E"/>
    <w:rsid w:val="003A04A0"/>
    <w:rsid w:val="003B3C42"/>
    <w:rsid w:val="003C0A46"/>
    <w:rsid w:val="003D1507"/>
    <w:rsid w:val="003D2746"/>
    <w:rsid w:val="003D375F"/>
    <w:rsid w:val="003E0A8F"/>
    <w:rsid w:val="004020AE"/>
    <w:rsid w:val="004037B7"/>
    <w:rsid w:val="0041240E"/>
    <w:rsid w:val="00412DDA"/>
    <w:rsid w:val="00424535"/>
    <w:rsid w:val="00445797"/>
    <w:rsid w:val="00456492"/>
    <w:rsid w:val="004631A5"/>
    <w:rsid w:val="0047169F"/>
    <w:rsid w:val="004753EA"/>
    <w:rsid w:val="004806D8"/>
    <w:rsid w:val="00490D56"/>
    <w:rsid w:val="00492FA5"/>
    <w:rsid w:val="004939E1"/>
    <w:rsid w:val="004B2B73"/>
    <w:rsid w:val="004C2E15"/>
    <w:rsid w:val="004C7CE6"/>
    <w:rsid w:val="004D1266"/>
    <w:rsid w:val="004D7EBD"/>
    <w:rsid w:val="004F2BAB"/>
    <w:rsid w:val="004F5D6B"/>
    <w:rsid w:val="00503436"/>
    <w:rsid w:val="00506EA3"/>
    <w:rsid w:val="00524F63"/>
    <w:rsid w:val="00526DBF"/>
    <w:rsid w:val="00561DC3"/>
    <w:rsid w:val="00591A06"/>
    <w:rsid w:val="005936A7"/>
    <w:rsid w:val="0059789E"/>
    <w:rsid w:val="005B1474"/>
    <w:rsid w:val="005D4F3C"/>
    <w:rsid w:val="0062272E"/>
    <w:rsid w:val="00625740"/>
    <w:rsid w:val="00627056"/>
    <w:rsid w:val="00636A84"/>
    <w:rsid w:val="00661E8C"/>
    <w:rsid w:val="006648C8"/>
    <w:rsid w:val="0069618E"/>
    <w:rsid w:val="006A2FAE"/>
    <w:rsid w:val="006A74EA"/>
    <w:rsid w:val="006B7D04"/>
    <w:rsid w:val="006D07DC"/>
    <w:rsid w:val="006E0A50"/>
    <w:rsid w:val="006E18E0"/>
    <w:rsid w:val="0070194C"/>
    <w:rsid w:val="00703CE4"/>
    <w:rsid w:val="00705398"/>
    <w:rsid w:val="00716460"/>
    <w:rsid w:val="0071702C"/>
    <w:rsid w:val="00722EA2"/>
    <w:rsid w:val="00731ACA"/>
    <w:rsid w:val="00737A13"/>
    <w:rsid w:val="00761EAA"/>
    <w:rsid w:val="00783831"/>
    <w:rsid w:val="007957B5"/>
    <w:rsid w:val="007A5276"/>
    <w:rsid w:val="007A7AAA"/>
    <w:rsid w:val="007B4E30"/>
    <w:rsid w:val="007C145B"/>
    <w:rsid w:val="007C2708"/>
    <w:rsid w:val="007C4E33"/>
    <w:rsid w:val="007D0131"/>
    <w:rsid w:val="007D289A"/>
    <w:rsid w:val="007D41FA"/>
    <w:rsid w:val="007E4AAE"/>
    <w:rsid w:val="00805CEC"/>
    <w:rsid w:val="00805EB0"/>
    <w:rsid w:val="0080747E"/>
    <w:rsid w:val="008418CA"/>
    <w:rsid w:val="00855A60"/>
    <w:rsid w:val="0085649E"/>
    <w:rsid w:val="00867286"/>
    <w:rsid w:val="00885362"/>
    <w:rsid w:val="00886DF5"/>
    <w:rsid w:val="00886E21"/>
    <w:rsid w:val="00887552"/>
    <w:rsid w:val="00893E53"/>
    <w:rsid w:val="008B1CFD"/>
    <w:rsid w:val="008B4B87"/>
    <w:rsid w:val="008D1B18"/>
    <w:rsid w:val="008D3116"/>
    <w:rsid w:val="008D3287"/>
    <w:rsid w:val="008E7A5F"/>
    <w:rsid w:val="008F163F"/>
    <w:rsid w:val="0093152C"/>
    <w:rsid w:val="00937144"/>
    <w:rsid w:val="00941469"/>
    <w:rsid w:val="0094434F"/>
    <w:rsid w:val="009465BB"/>
    <w:rsid w:val="00947952"/>
    <w:rsid w:val="009519EB"/>
    <w:rsid w:val="00956AB6"/>
    <w:rsid w:val="00961A65"/>
    <w:rsid w:val="00963A2E"/>
    <w:rsid w:val="009842E7"/>
    <w:rsid w:val="00992050"/>
    <w:rsid w:val="009956D7"/>
    <w:rsid w:val="00996B3B"/>
    <w:rsid w:val="009A091B"/>
    <w:rsid w:val="009A0A77"/>
    <w:rsid w:val="009B054C"/>
    <w:rsid w:val="009C6169"/>
    <w:rsid w:val="009E024A"/>
    <w:rsid w:val="009E5090"/>
    <w:rsid w:val="00A0513D"/>
    <w:rsid w:val="00A25840"/>
    <w:rsid w:val="00A361BA"/>
    <w:rsid w:val="00A7147F"/>
    <w:rsid w:val="00A90466"/>
    <w:rsid w:val="00A9088A"/>
    <w:rsid w:val="00A94C3C"/>
    <w:rsid w:val="00AB4B80"/>
    <w:rsid w:val="00AB52BA"/>
    <w:rsid w:val="00AC243B"/>
    <w:rsid w:val="00AE09E0"/>
    <w:rsid w:val="00AE7DA4"/>
    <w:rsid w:val="00AF38E2"/>
    <w:rsid w:val="00B03A72"/>
    <w:rsid w:val="00B16CDC"/>
    <w:rsid w:val="00B17256"/>
    <w:rsid w:val="00B323CA"/>
    <w:rsid w:val="00B4084E"/>
    <w:rsid w:val="00B424A0"/>
    <w:rsid w:val="00B42901"/>
    <w:rsid w:val="00B613FD"/>
    <w:rsid w:val="00B74B5E"/>
    <w:rsid w:val="00B9033E"/>
    <w:rsid w:val="00B93CA6"/>
    <w:rsid w:val="00B96DBE"/>
    <w:rsid w:val="00BA6E90"/>
    <w:rsid w:val="00BB534D"/>
    <w:rsid w:val="00BD5DFC"/>
    <w:rsid w:val="00BD6A44"/>
    <w:rsid w:val="00BE1440"/>
    <w:rsid w:val="00BF35E7"/>
    <w:rsid w:val="00BF7BAA"/>
    <w:rsid w:val="00C07665"/>
    <w:rsid w:val="00C25352"/>
    <w:rsid w:val="00C43652"/>
    <w:rsid w:val="00C44BF3"/>
    <w:rsid w:val="00C64273"/>
    <w:rsid w:val="00C6433E"/>
    <w:rsid w:val="00C65CC4"/>
    <w:rsid w:val="00C907EB"/>
    <w:rsid w:val="00C97919"/>
    <w:rsid w:val="00CA7999"/>
    <w:rsid w:val="00CB014E"/>
    <w:rsid w:val="00CB383E"/>
    <w:rsid w:val="00CC077C"/>
    <w:rsid w:val="00CD008C"/>
    <w:rsid w:val="00CE78FD"/>
    <w:rsid w:val="00CF445E"/>
    <w:rsid w:val="00CF67E9"/>
    <w:rsid w:val="00D30C10"/>
    <w:rsid w:val="00D65624"/>
    <w:rsid w:val="00D767D5"/>
    <w:rsid w:val="00DA1BB1"/>
    <w:rsid w:val="00DC6612"/>
    <w:rsid w:val="00DE4510"/>
    <w:rsid w:val="00DE6CA7"/>
    <w:rsid w:val="00DF067F"/>
    <w:rsid w:val="00E065CB"/>
    <w:rsid w:val="00E147E0"/>
    <w:rsid w:val="00E15AF4"/>
    <w:rsid w:val="00E16A63"/>
    <w:rsid w:val="00E3196C"/>
    <w:rsid w:val="00E34761"/>
    <w:rsid w:val="00E373A8"/>
    <w:rsid w:val="00E63231"/>
    <w:rsid w:val="00E64490"/>
    <w:rsid w:val="00E746B1"/>
    <w:rsid w:val="00E77AD7"/>
    <w:rsid w:val="00E81077"/>
    <w:rsid w:val="00E969CF"/>
    <w:rsid w:val="00EC5374"/>
    <w:rsid w:val="00EE2338"/>
    <w:rsid w:val="00EE2B9B"/>
    <w:rsid w:val="00EE737C"/>
    <w:rsid w:val="00F00DA4"/>
    <w:rsid w:val="00F260E0"/>
    <w:rsid w:val="00F3109A"/>
    <w:rsid w:val="00F4187E"/>
    <w:rsid w:val="00F53D99"/>
    <w:rsid w:val="00F549E0"/>
    <w:rsid w:val="00F607F9"/>
    <w:rsid w:val="00F7413B"/>
    <w:rsid w:val="00F830F6"/>
    <w:rsid w:val="00F90E62"/>
    <w:rsid w:val="00FA35B6"/>
    <w:rsid w:val="00FA618A"/>
    <w:rsid w:val="00FA7CD6"/>
    <w:rsid w:val="00FB25A4"/>
    <w:rsid w:val="00FB3565"/>
    <w:rsid w:val="00FC2303"/>
    <w:rsid w:val="00FE4829"/>
    <w:rsid w:val="00FF6822"/>
    <w:rsid w:val="00FF78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642DF586"/>
  <w15:chartTrackingRefBased/>
  <w15:docId w15:val="{4655F691-57F0-3A41-B5B6-D915FAA1A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00964"/>
    <w:rPr>
      <w:color w:val="0563C1" w:themeColor="hyperlink"/>
      <w:u w:val="single"/>
    </w:rPr>
  </w:style>
  <w:style w:type="character" w:styleId="UnresolvedMention">
    <w:name w:val="Unresolved Mention"/>
    <w:basedOn w:val="DefaultParagraphFont"/>
    <w:uiPriority w:val="99"/>
    <w:semiHidden/>
    <w:unhideWhenUsed/>
    <w:rsid w:val="00200964"/>
    <w:rPr>
      <w:color w:val="605E5C"/>
      <w:shd w:val="clear" w:color="auto" w:fill="E1DFDD"/>
    </w:rPr>
  </w:style>
  <w:style w:type="paragraph" w:styleId="Revision">
    <w:name w:val="Revision"/>
    <w:hidden/>
    <w:uiPriority w:val="99"/>
    <w:semiHidden/>
    <w:rsid w:val="006E18E0"/>
  </w:style>
  <w:style w:type="character" w:styleId="CommentReference">
    <w:name w:val="annotation reference"/>
    <w:basedOn w:val="DefaultParagraphFont"/>
    <w:uiPriority w:val="99"/>
    <w:semiHidden/>
    <w:unhideWhenUsed/>
    <w:rsid w:val="006E18E0"/>
    <w:rPr>
      <w:sz w:val="16"/>
      <w:szCs w:val="16"/>
    </w:rPr>
  </w:style>
  <w:style w:type="paragraph" w:styleId="CommentText">
    <w:name w:val="annotation text"/>
    <w:basedOn w:val="Normal"/>
    <w:link w:val="CommentTextChar"/>
    <w:uiPriority w:val="99"/>
    <w:unhideWhenUsed/>
    <w:rsid w:val="006E18E0"/>
    <w:rPr>
      <w:sz w:val="20"/>
      <w:szCs w:val="20"/>
    </w:rPr>
  </w:style>
  <w:style w:type="character" w:customStyle="1" w:styleId="CommentTextChar">
    <w:name w:val="Comment Text Char"/>
    <w:basedOn w:val="DefaultParagraphFont"/>
    <w:link w:val="CommentText"/>
    <w:uiPriority w:val="99"/>
    <w:rsid w:val="006E18E0"/>
    <w:rPr>
      <w:sz w:val="20"/>
      <w:szCs w:val="20"/>
    </w:rPr>
  </w:style>
  <w:style w:type="paragraph" w:styleId="CommentSubject">
    <w:name w:val="annotation subject"/>
    <w:basedOn w:val="CommentText"/>
    <w:next w:val="CommentText"/>
    <w:link w:val="CommentSubjectChar"/>
    <w:uiPriority w:val="99"/>
    <w:semiHidden/>
    <w:unhideWhenUsed/>
    <w:rsid w:val="006E18E0"/>
    <w:rPr>
      <w:b/>
      <w:bCs/>
    </w:rPr>
  </w:style>
  <w:style w:type="character" w:customStyle="1" w:styleId="CommentSubjectChar">
    <w:name w:val="Comment Subject Char"/>
    <w:basedOn w:val="CommentTextChar"/>
    <w:link w:val="CommentSubject"/>
    <w:uiPriority w:val="99"/>
    <w:semiHidden/>
    <w:rsid w:val="006E18E0"/>
    <w:rPr>
      <w:b/>
      <w:bCs/>
      <w:sz w:val="20"/>
      <w:szCs w:val="20"/>
    </w:rPr>
  </w:style>
  <w:style w:type="paragraph" w:styleId="BalloonText">
    <w:name w:val="Balloon Text"/>
    <w:basedOn w:val="Normal"/>
    <w:link w:val="BalloonTextChar"/>
    <w:uiPriority w:val="99"/>
    <w:semiHidden/>
    <w:unhideWhenUsed/>
    <w:rsid w:val="006E18E0"/>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E18E0"/>
    <w:rPr>
      <w:rFonts w:ascii="Times New Roman" w:hAnsi="Times New Roman" w:cs="Times New Roman"/>
      <w:sz w:val="18"/>
      <w:szCs w:val="18"/>
    </w:rPr>
  </w:style>
  <w:style w:type="paragraph" w:styleId="ListParagraph">
    <w:name w:val="List Paragraph"/>
    <w:basedOn w:val="Normal"/>
    <w:uiPriority w:val="34"/>
    <w:qFormat/>
    <w:rsid w:val="00CA799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11325">
      <w:bodyDiv w:val="1"/>
      <w:marLeft w:val="0"/>
      <w:marRight w:val="0"/>
      <w:marTop w:val="0"/>
      <w:marBottom w:val="0"/>
      <w:divBdr>
        <w:top w:val="none" w:sz="0" w:space="0" w:color="auto"/>
        <w:left w:val="none" w:sz="0" w:space="0" w:color="auto"/>
        <w:bottom w:val="none" w:sz="0" w:space="0" w:color="auto"/>
        <w:right w:val="none" w:sz="0" w:space="0" w:color="auto"/>
      </w:divBdr>
    </w:div>
    <w:div w:id="31730629">
      <w:bodyDiv w:val="1"/>
      <w:marLeft w:val="0"/>
      <w:marRight w:val="0"/>
      <w:marTop w:val="0"/>
      <w:marBottom w:val="0"/>
      <w:divBdr>
        <w:top w:val="none" w:sz="0" w:space="0" w:color="auto"/>
        <w:left w:val="none" w:sz="0" w:space="0" w:color="auto"/>
        <w:bottom w:val="none" w:sz="0" w:space="0" w:color="auto"/>
        <w:right w:val="none" w:sz="0" w:space="0" w:color="auto"/>
      </w:divBdr>
    </w:div>
    <w:div w:id="146945446">
      <w:bodyDiv w:val="1"/>
      <w:marLeft w:val="0"/>
      <w:marRight w:val="0"/>
      <w:marTop w:val="0"/>
      <w:marBottom w:val="0"/>
      <w:divBdr>
        <w:top w:val="none" w:sz="0" w:space="0" w:color="auto"/>
        <w:left w:val="none" w:sz="0" w:space="0" w:color="auto"/>
        <w:bottom w:val="none" w:sz="0" w:space="0" w:color="auto"/>
        <w:right w:val="none" w:sz="0" w:space="0" w:color="auto"/>
      </w:divBdr>
    </w:div>
    <w:div w:id="160857813">
      <w:bodyDiv w:val="1"/>
      <w:marLeft w:val="0"/>
      <w:marRight w:val="0"/>
      <w:marTop w:val="0"/>
      <w:marBottom w:val="0"/>
      <w:divBdr>
        <w:top w:val="none" w:sz="0" w:space="0" w:color="auto"/>
        <w:left w:val="none" w:sz="0" w:space="0" w:color="auto"/>
        <w:bottom w:val="none" w:sz="0" w:space="0" w:color="auto"/>
        <w:right w:val="none" w:sz="0" w:space="0" w:color="auto"/>
      </w:divBdr>
    </w:div>
    <w:div w:id="176385077">
      <w:bodyDiv w:val="1"/>
      <w:marLeft w:val="0"/>
      <w:marRight w:val="0"/>
      <w:marTop w:val="0"/>
      <w:marBottom w:val="0"/>
      <w:divBdr>
        <w:top w:val="none" w:sz="0" w:space="0" w:color="auto"/>
        <w:left w:val="none" w:sz="0" w:space="0" w:color="auto"/>
        <w:bottom w:val="none" w:sz="0" w:space="0" w:color="auto"/>
        <w:right w:val="none" w:sz="0" w:space="0" w:color="auto"/>
      </w:divBdr>
    </w:div>
    <w:div w:id="211770434">
      <w:bodyDiv w:val="1"/>
      <w:marLeft w:val="0"/>
      <w:marRight w:val="0"/>
      <w:marTop w:val="0"/>
      <w:marBottom w:val="0"/>
      <w:divBdr>
        <w:top w:val="none" w:sz="0" w:space="0" w:color="auto"/>
        <w:left w:val="none" w:sz="0" w:space="0" w:color="auto"/>
        <w:bottom w:val="none" w:sz="0" w:space="0" w:color="auto"/>
        <w:right w:val="none" w:sz="0" w:space="0" w:color="auto"/>
      </w:divBdr>
    </w:div>
    <w:div w:id="247006685">
      <w:bodyDiv w:val="1"/>
      <w:marLeft w:val="0"/>
      <w:marRight w:val="0"/>
      <w:marTop w:val="0"/>
      <w:marBottom w:val="0"/>
      <w:divBdr>
        <w:top w:val="none" w:sz="0" w:space="0" w:color="auto"/>
        <w:left w:val="none" w:sz="0" w:space="0" w:color="auto"/>
        <w:bottom w:val="none" w:sz="0" w:space="0" w:color="auto"/>
        <w:right w:val="none" w:sz="0" w:space="0" w:color="auto"/>
      </w:divBdr>
    </w:div>
    <w:div w:id="345206831">
      <w:bodyDiv w:val="1"/>
      <w:marLeft w:val="0"/>
      <w:marRight w:val="0"/>
      <w:marTop w:val="0"/>
      <w:marBottom w:val="0"/>
      <w:divBdr>
        <w:top w:val="none" w:sz="0" w:space="0" w:color="auto"/>
        <w:left w:val="none" w:sz="0" w:space="0" w:color="auto"/>
        <w:bottom w:val="none" w:sz="0" w:space="0" w:color="auto"/>
        <w:right w:val="none" w:sz="0" w:space="0" w:color="auto"/>
      </w:divBdr>
    </w:div>
    <w:div w:id="399595126">
      <w:bodyDiv w:val="1"/>
      <w:marLeft w:val="0"/>
      <w:marRight w:val="0"/>
      <w:marTop w:val="0"/>
      <w:marBottom w:val="0"/>
      <w:divBdr>
        <w:top w:val="none" w:sz="0" w:space="0" w:color="auto"/>
        <w:left w:val="none" w:sz="0" w:space="0" w:color="auto"/>
        <w:bottom w:val="none" w:sz="0" w:space="0" w:color="auto"/>
        <w:right w:val="none" w:sz="0" w:space="0" w:color="auto"/>
      </w:divBdr>
    </w:div>
    <w:div w:id="404760400">
      <w:bodyDiv w:val="1"/>
      <w:marLeft w:val="0"/>
      <w:marRight w:val="0"/>
      <w:marTop w:val="0"/>
      <w:marBottom w:val="0"/>
      <w:divBdr>
        <w:top w:val="none" w:sz="0" w:space="0" w:color="auto"/>
        <w:left w:val="none" w:sz="0" w:space="0" w:color="auto"/>
        <w:bottom w:val="none" w:sz="0" w:space="0" w:color="auto"/>
        <w:right w:val="none" w:sz="0" w:space="0" w:color="auto"/>
      </w:divBdr>
      <w:divsChild>
        <w:div w:id="1660844508">
          <w:marLeft w:val="547"/>
          <w:marRight w:val="0"/>
          <w:marTop w:val="0"/>
          <w:marBottom w:val="0"/>
          <w:divBdr>
            <w:top w:val="none" w:sz="0" w:space="0" w:color="auto"/>
            <w:left w:val="none" w:sz="0" w:space="0" w:color="auto"/>
            <w:bottom w:val="none" w:sz="0" w:space="0" w:color="auto"/>
            <w:right w:val="none" w:sz="0" w:space="0" w:color="auto"/>
          </w:divBdr>
        </w:div>
      </w:divsChild>
    </w:div>
    <w:div w:id="479812238">
      <w:bodyDiv w:val="1"/>
      <w:marLeft w:val="0"/>
      <w:marRight w:val="0"/>
      <w:marTop w:val="0"/>
      <w:marBottom w:val="0"/>
      <w:divBdr>
        <w:top w:val="none" w:sz="0" w:space="0" w:color="auto"/>
        <w:left w:val="none" w:sz="0" w:space="0" w:color="auto"/>
        <w:bottom w:val="none" w:sz="0" w:space="0" w:color="auto"/>
        <w:right w:val="none" w:sz="0" w:space="0" w:color="auto"/>
      </w:divBdr>
    </w:div>
    <w:div w:id="613170138">
      <w:bodyDiv w:val="1"/>
      <w:marLeft w:val="0"/>
      <w:marRight w:val="0"/>
      <w:marTop w:val="0"/>
      <w:marBottom w:val="0"/>
      <w:divBdr>
        <w:top w:val="none" w:sz="0" w:space="0" w:color="auto"/>
        <w:left w:val="none" w:sz="0" w:space="0" w:color="auto"/>
        <w:bottom w:val="none" w:sz="0" w:space="0" w:color="auto"/>
        <w:right w:val="none" w:sz="0" w:space="0" w:color="auto"/>
      </w:divBdr>
    </w:div>
    <w:div w:id="630672387">
      <w:bodyDiv w:val="1"/>
      <w:marLeft w:val="0"/>
      <w:marRight w:val="0"/>
      <w:marTop w:val="0"/>
      <w:marBottom w:val="0"/>
      <w:divBdr>
        <w:top w:val="none" w:sz="0" w:space="0" w:color="auto"/>
        <w:left w:val="none" w:sz="0" w:space="0" w:color="auto"/>
        <w:bottom w:val="none" w:sz="0" w:space="0" w:color="auto"/>
        <w:right w:val="none" w:sz="0" w:space="0" w:color="auto"/>
      </w:divBdr>
    </w:div>
    <w:div w:id="691691818">
      <w:bodyDiv w:val="1"/>
      <w:marLeft w:val="0"/>
      <w:marRight w:val="0"/>
      <w:marTop w:val="0"/>
      <w:marBottom w:val="0"/>
      <w:divBdr>
        <w:top w:val="none" w:sz="0" w:space="0" w:color="auto"/>
        <w:left w:val="none" w:sz="0" w:space="0" w:color="auto"/>
        <w:bottom w:val="none" w:sz="0" w:space="0" w:color="auto"/>
        <w:right w:val="none" w:sz="0" w:space="0" w:color="auto"/>
      </w:divBdr>
    </w:div>
    <w:div w:id="708725921">
      <w:bodyDiv w:val="1"/>
      <w:marLeft w:val="0"/>
      <w:marRight w:val="0"/>
      <w:marTop w:val="0"/>
      <w:marBottom w:val="0"/>
      <w:divBdr>
        <w:top w:val="none" w:sz="0" w:space="0" w:color="auto"/>
        <w:left w:val="none" w:sz="0" w:space="0" w:color="auto"/>
        <w:bottom w:val="none" w:sz="0" w:space="0" w:color="auto"/>
        <w:right w:val="none" w:sz="0" w:space="0" w:color="auto"/>
      </w:divBdr>
    </w:div>
    <w:div w:id="713967803">
      <w:bodyDiv w:val="1"/>
      <w:marLeft w:val="0"/>
      <w:marRight w:val="0"/>
      <w:marTop w:val="0"/>
      <w:marBottom w:val="0"/>
      <w:divBdr>
        <w:top w:val="none" w:sz="0" w:space="0" w:color="auto"/>
        <w:left w:val="none" w:sz="0" w:space="0" w:color="auto"/>
        <w:bottom w:val="none" w:sz="0" w:space="0" w:color="auto"/>
        <w:right w:val="none" w:sz="0" w:space="0" w:color="auto"/>
      </w:divBdr>
    </w:div>
    <w:div w:id="760759901">
      <w:bodyDiv w:val="1"/>
      <w:marLeft w:val="0"/>
      <w:marRight w:val="0"/>
      <w:marTop w:val="0"/>
      <w:marBottom w:val="0"/>
      <w:divBdr>
        <w:top w:val="none" w:sz="0" w:space="0" w:color="auto"/>
        <w:left w:val="none" w:sz="0" w:space="0" w:color="auto"/>
        <w:bottom w:val="none" w:sz="0" w:space="0" w:color="auto"/>
        <w:right w:val="none" w:sz="0" w:space="0" w:color="auto"/>
      </w:divBdr>
    </w:div>
    <w:div w:id="863052860">
      <w:bodyDiv w:val="1"/>
      <w:marLeft w:val="0"/>
      <w:marRight w:val="0"/>
      <w:marTop w:val="0"/>
      <w:marBottom w:val="0"/>
      <w:divBdr>
        <w:top w:val="none" w:sz="0" w:space="0" w:color="auto"/>
        <w:left w:val="none" w:sz="0" w:space="0" w:color="auto"/>
        <w:bottom w:val="none" w:sz="0" w:space="0" w:color="auto"/>
        <w:right w:val="none" w:sz="0" w:space="0" w:color="auto"/>
      </w:divBdr>
    </w:div>
    <w:div w:id="878512255">
      <w:bodyDiv w:val="1"/>
      <w:marLeft w:val="0"/>
      <w:marRight w:val="0"/>
      <w:marTop w:val="0"/>
      <w:marBottom w:val="0"/>
      <w:divBdr>
        <w:top w:val="none" w:sz="0" w:space="0" w:color="auto"/>
        <w:left w:val="none" w:sz="0" w:space="0" w:color="auto"/>
        <w:bottom w:val="none" w:sz="0" w:space="0" w:color="auto"/>
        <w:right w:val="none" w:sz="0" w:space="0" w:color="auto"/>
      </w:divBdr>
    </w:div>
    <w:div w:id="899485808">
      <w:bodyDiv w:val="1"/>
      <w:marLeft w:val="0"/>
      <w:marRight w:val="0"/>
      <w:marTop w:val="0"/>
      <w:marBottom w:val="0"/>
      <w:divBdr>
        <w:top w:val="none" w:sz="0" w:space="0" w:color="auto"/>
        <w:left w:val="none" w:sz="0" w:space="0" w:color="auto"/>
        <w:bottom w:val="none" w:sz="0" w:space="0" w:color="auto"/>
        <w:right w:val="none" w:sz="0" w:space="0" w:color="auto"/>
      </w:divBdr>
    </w:div>
    <w:div w:id="948312499">
      <w:bodyDiv w:val="1"/>
      <w:marLeft w:val="0"/>
      <w:marRight w:val="0"/>
      <w:marTop w:val="0"/>
      <w:marBottom w:val="0"/>
      <w:divBdr>
        <w:top w:val="none" w:sz="0" w:space="0" w:color="auto"/>
        <w:left w:val="none" w:sz="0" w:space="0" w:color="auto"/>
        <w:bottom w:val="none" w:sz="0" w:space="0" w:color="auto"/>
        <w:right w:val="none" w:sz="0" w:space="0" w:color="auto"/>
      </w:divBdr>
    </w:div>
    <w:div w:id="960722938">
      <w:bodyDiv w:val="1"/>
      <w:marLeft w:val="0"/>
      <w:marRight w:val="0"/>
      <w:marTop w:val="0"/>
      <w:marBottom w:val="0"/>
      <w:divBdr>
        <w:top w:val="none" w:sz="0" w:space="0" w:color="auto"/>
        <w:left w:val="none" w:sz="0" w:space="0" w:color="auto"/>
        <w:bottom w:val="none" w:sz="0" w:space="0" w:color="auto"/>
        <w:right w:val="none" w:sz="0" w:space="0" w:color="auto"/>
      </w:divBdr>
    </w:div>
    <w:div w:id="961808474">
      <w:bodyDiv w:val="1"/>
      <w:marLeft w:val="0"/>
      <w:marRight w:val="0"/>
      <w:marTop w:val="0"/>
      <w:marBottom w:val="0"/>
      <w:divBdr>
        <w:top w:val="none" w:sz="0" w:space="0" w:color="auto"/>
        <w:left w:val="none" w:sz="0" w:space="0" w:color="auto"/>
        <w:bottom w:val="none" w:sz="0" w:space="0" w:color="auto"/>
        <w:right w:val="none" w:sz="0" w:space="0" w:color="auto"/>
      </w:divBdr>
    </w:div>
    <w:div w:id="968323608">
      <w:bodyDiv w:val="1"/>
      <w:marLeft w:val="0"/>
      <w:marRight w:val="0"/>
      <w:marTop w:val="0"/>
      <w:marBottom w:val="0"/>
      <w:divBdr>
        <w:top w:val="none" w:sz="0" w:space="0" w:color="auto"/>
        <w:left w:val="none" w:sz="0" w:space="0" w:color="auto"/>
        <w:bottom w:val="none" w:sz="0" w:space="0" w:color="auto"/>
        <w:right w:val="none" w:sz="0" w:space="0" w:color="auto"/>
      </w:divBdr>
    </w:div>
    <w:div w:id="1010135632">
      <w:bodyDiv w:val="1"/>
      <w:marLeft w:val="0"/>
      <w:marRight w:val="0"/>
      <w:marTop w:val="0"/>
      <w:marBottom w:val="0"/>
      <w:divBdr>
        <w:top w:val="none" w:sz="0" w:space="0" w:color="auto"/>
        <w:left w:val="none" w:sz="0" w:space="0" w:color="auto"/>
        <w:bottom w:val="none" w:sz="0" w:space="0" w:color="auto"/>
        <w:right w:val="none" w:sz="0" w:space="0" w:color="auto"/>
      </w:divBdr>
    </w:div>
    <w:div w:id="1011645858">
      <w:bodyDiv w:val="1"/>
      <w:marLeft w:val="0"/>
      <w:marRight w:val="0"/>
      <w:marTop w:val="0"/>
      <w:marBottom w:val="0"/>
      <w:divBdr>
        <w:top w:val="none" w:sz="0" w:space="0" w:color="auto"/>
        <w:left w:val="none" w:sz="0" w:space="0" w:color="auto"/>
        <w:bottom w:val="none" w:sz="0" w:space="0" w:color="auto"/>
        <w:right w:val="none" w:sz="0" w:space="0" w:color="auto"/>
      </w:divBdr>
    </w:div>
    <w:div w:id="1039283156">
      <w:bodyDiv w:val="1"/>
      <w:marLeft w:val="0"/>
      <w:marRight w:val="0"/>
      <w:marTop w:val="0"/>
      <w:marBottom w:val="0"/>
      <w:divBdr>
        <w:top w:val="none" w:sz="0" w:space="0" w:color="auto"/>
        <w:left w:val="none" w:sz="0" w:space="0" w:color="auto"/>
        <w:bottom w:val="none" w:sz="0" w:space="0" w:color="auto"/>
        <w:right w:val="none" w:sz="0" w:space="0" w:color="auto"/>
      </w:divBdr>
    </w:div>
    <w:div w:id="1059787007">
      <w:bodyDiv w:val="1"/>
      <w:marLeft w:val="0"/>
      <w:marRight w:val="0"/>
      <w:marTop w:val="0"/>
      <w:marBottom w:val="0"/>
      <w:divBdr>
        <w:top w:val="none" w:sz="0" w:space="0" w:color="auto"/>
        <w:left w:val="none" w:sz="0" w:space="0" w:color="auto"/>
        <w:bottom w:val="none" w:sz="0" w:space="0" w:color="auto"/>
        <w:right w:val="none" w:sz="0" w:space="0" w:color="auto"/>
      </w:divBdr>
    </w:div>
    <w:div w:id="1109619600">
      <w:bodyDiv w:val="1"/>
      <w:marLeft w:val="0"/>
      <w:marRight w:val="0"/>
      <w:marTop w:val="0"/>
      <w:marBottom w:val="0"/>
      <w:divBdr>
        <w:top w:val="none" w:sz="0" w:space="0" w:color="auto"/>
        <w:left w:val="none" w:sz="0" w:space="0" w:color="auto"/>
        <w:bottom w:val="none" w:sz="0" w:space="0" w:color="auto"/>
        <w:right w:val="none" w:sz="0" w:space="0" w:color="auto"/>
      </w:divBdr>
    </w:div>
    <w:div w:id="1223174366">
      <w:bodyDiv w:val="1"/>
      <w:marLeft w:val="0"/>
      <w:marRight w:val="0"/>
      <w:marTop w:val="0"/>
      <w:marBottom w:val="0"/>
      <w:divBdr>
        <w:top w:val="none" w:sz="0" w:space="0" w:color="auto"/>
        <w:left w:val="none" w:sz="0" w:space="0" w:color="auto"/>
        <w:bottom w:val="none" w:sz="0" w:space="0" w:color="auto"/>
        <w:right w:val="none" w:sz="0" w:space="0" w:color="auto"/>
      </w:divBdr>
    </w:div>
    <w:div w:id="1234122952">
      <w:bodyDiv w:val="1"/>
      <w:marLeft w:val="0"/>
      <w:marRight w:val="0"/>
      <w:marTop w:val="0"/>
      <w:marBottom w:val="0"/>
      <w:divBdr>
        <w:top w:val="none" w:sz="0" w:space="0" w:color="auto"/>
        <w:left w:val="none" w:sz="0" w:space="0" w:color="auto"/>
        <w:bottom w:val="none" w:sz="0" w:space="0" w:color="auto"/>
        <w:right w:val="none" w:sz="0" w:space="0" w:color="auto"/>
      </w:divBdr>
    </w:div>
    <w:div w:id="1234510535">
      <w:bodyDiv w:val="1"/>
      <w:marLeft w:val="0"/>
      <w:marRight w:val="0"/>
      <w:marTop w:val="0"/>
      <w:marBottom w:val="0"/>
      <w:divBdr>
        <w:top w:val="none" w:sz="0" w:space="0" w:color="auto"/>
        <w:left w:val="none" w:sz="0" w:space="0" w:color="auto"/>
        <w:bottom w:val="none" w:sz="0" w:space="0" w:color="auto"/>
        <w:right w:val="none" w:sz="0" w:space="0" w:color="auto"/>
      </w:divBdr>
    </w:div>
    <w:div w:id="1308129099">
      <w:bodyDiv w:val="1"/>
      <w:marLeft w:val="0"/>
      <w:marRight w:val="0"/>
      <w:marTop w:val="0"/>
      <w:marBottom w:val="0"/>
      <w:divBdr>
        <w:top w:val="none" w:sz="0" w:space="0" w:color="auto"/>
        <w:left w:val="none" w:sz="0" w:space="0" w:color="auto"/>
        <w:bottom w:val="none" w:sz="0" w:space="0" w:color="auto"/>
        <w:right w:val="none" w:sz="0" w:space="0" w:color="auto"/>
      </w:divBdr>
    </w:div>
    <w:div w:id="1314480791">
      <w:bodyDiv w:val="1"/>
      <w:marLeft w:val="0"/>
      <w:marRight w:val="0"/>
      <w:marTop w:val="0"/>
      <w:marBottom w:val="0"/>
      <w:divBdr>
        <w:top w:val="none" w:sz="0" w:space="0" w:color="auto"/>
        <w:left w:val="none" w:sz="0" w:space="0" w:color="auto"/>
        <w:bottom w:val="none" w:sz="0" w:space="0" w:color="auto"/>
        <w:right w:val="none" w:sz="0" w:space="0" w:color="auto"/>
      </w:divBdr>
    </w:div>
    <w:div w:id="1361857765">
      <w:bodyDiv w:val="1"/>
      <w:marLeft w:val="0"/>
      <w:marRight w:val="0"/>
      <w:marTop w:val="0"/>
      <w:marBottom w:val="0"/>
      <w:divBdr>
        <w:top w:val="none" w:sz="0" w:space="0" w:color="auto"/>
        <w:left w:val="none" w:sz="0" w:space="0" w:color="auto"/>
        <w:bottom w:val="none" w:sz="0" w:space="0" w:color="auto"/>
        <w:right w:val="none" w:sz="0" w:space="0" w:color="auto"/>
      </w:divBdr>
    </w:div>
    <w:div w:id="1441535847">
      <w:bodyDiv w:val="1"/>
      <w:marLeft w:val="0"/>
      <w:marRight w:val="0"/>
      <w:marTop w:val="0"/>
      <w:marBottom w:val="0"/>
      <w:divBdr>
        <w:top w:val="none" w:sz="0" w:space="0" w:color="auto"/>
        <w:left w:val="none" w:sz="0" w:space="0" w:color="auto"/>
        <w:bottom w:val="none" w:sz="0" w:space="0" w:color="auto"/>
        <w:right w:val="none" w:sz="0" w:space="0" w:color="auto"/>
      </w:divBdr>
    </w:div>
    <w:div w:id="1639645989">
      <w:bodyDiv w:val="1"/>
      <w:marLeft w:val="0"/>
      <w:marRight w:val="0"/>
      <w:marTop w:val="0"/>
      <w:marBottom w:val="0"/>
      <w:divBdr>
        <w:top w:val="none" w:sz="0" w:space="0" w:color="auto"/>
        <w:left w:val="none" w:sz="0" w:space="0" w:color="auto"/>
        <w:bottom w:val="none" w:sz="0" w:space="0" w:color="auto"/>
        <w:right w:val="none" w:sz="0" w:space="0" w:color="auto"/>
      </w:divBdr>
    </w:div>
    <w:div w:id="1702046201">
      <w:bodyDiv w:val="1"/>
      <w:marLeft w:val="0"/>
      <w:marRight w:val="0"/>
      <w:marTop w:val="0"/>
      <w:marBottom w:val="0"/>
      <w:divBdr>
        <w:top w:val="none" w:sz="0" w:space="0" w:color="auto"/>
        <w:left w:val="none" w:sz="0" w:space="0" w:color="auto"/>
        <w:bottom w:val="none" w:sz="0" w:space="0" w:color="auto"/>
        <w:right w:val="none" w:sz="0" w:space="0" w:color="auto"/>
      </w:divBdr>
    </w:div>
    <w:div w:id="1800032120">
      <w:bodyDiv w:val="1"/>
      <w:marLeft w:val="0"/>
      <w:marRight w:val="0"/>
      <w:marTop w:val="0"/>
      <w:marBottom w:val="0"/>
      <w:divBdr>
        <w:top w:val="none" w:sz="0" w:space="0" w:color="auto"/>
        <w:left w:val="none" w:sz="0" w:space="0" w:color="auto"/>
        <w:bottom w:val="none" w:sz="0" w:space="0" w:color="auto"/>
        <w:right w:val="none" w:sz="0" w:space="0" w:color="auto"/>
      </w:divBdr>
    </w:div>
    <w:div w:id="1894656072">
      <w:bodyDiv w:val="1"/>
      <w:marLeft w:val="0"/>
      <w:marRight w:val="0"/>
      <w:marTop w:val="0"/>
      <w:marBottom w:val="0"/>
      <w:divBdr>
        <w:top w:val="none" w:sz="0" w:space="0" w:color="auto"/>
        <w:left w:val="none" w:sz="0" w:space="0" w:color="auto"/>
        <w:bottom w:val="none" w:sz="0" w:space="0" w:color="auto"/>
        <w:right w:val="none" w:sz="0" w:space="0" w:color="auto"/>
      </w:divBdr>
    </w:div>
    <w:div w:id="1906721894">
      <w:bodyDiv w:val="1"/>
      <w:marLeft w:val="0"/>
      <w:marRight w:val="0"/>
      <w:marTop w:val="0"/>
      <w:marBottom w:val="0"/>
      <w:divBdr>
        <w:top w:val="none" w:sz="0" w:space="0" w:color="auto"/>
        <w:left w:val="none" w:sz="0" w:space="0" w:color="auto"/>
        <w:bottom w:val="none" w:sz="0" w:space="0" w:color="auto"/>
        <w:right w:val="none" w:sz="0" w:space="0" w:color="auto"/>
      </w:divBdr>
    </w:div>
    <w:div w:id="1924339964">
      <w:bodyDiv w:val="1"/>
      <w:marLeft w:val="0"/>
      <w:marRight w:val="0"/>
      <w:marTop w:val="0"/>
      <w:marBottom w:val="0"/>
      <w:divBdr>
        <w:top w:val="none" w:sz="0" w:space="0" w:color="auto"/>
        <w:left w:val="none" w:sz="0" w:space="0" w:color="auto"/>
        <w:bottom w:val="none" w:sz="0" w:space="0" w:color="auto"/>
        <w:right w:val="none" w:sz="0" w:space="0" w:color="auto"/>
      </w:divBdr>
    </w:div>
    <w:div w:id="1927183209">
      <w:bodyDiv w:val="1"/>
      <w:marLeft w:val="0"/>
      <w:marRight w:val="0"/>
      <w:marTop w:val="0"/>
      <w:marBottom w:val="0"/>
      <w:divBdr>
        <w:top w:val="none" w:sz="0" w:space="0" w:color="auto"/>
        <w:left w:val="none" w:sz="0" w:space="0" w:color="auto"/>
        <w:bottom w:val="none" w:sz="0" w:space="0" w:color="auto"/>
        <w:right w:val="none" w:sz="0" w:space="0" w:color="auto"/>
      </w:divBdr>
    </w:div>
    <w:div w:id="2021621445">
      <w:bodyDiv w:val="1"/>
      <w:marLeft w:val="0"/>
      <w:marRight w:val="0"/>
      <w:marTop w:val="0"/>
      <w:marBottom w:val="0"/>
      <w:divBdr>
        <w:top w:val="none" w:sz="0" w:space="0" w:color="auto"/>
        <w:left w:val="none" w:sz="0" w:space="0" w:color="auto"/>
        <w:bottom w:val="none" w:sz="0" w:space="0" w:color="auto"/>
        <w:right w:val="none" w:sz="0" w:space="0" w:color="auto"/>
      </w:divBdr>
    </w:div>
    <w:div w:id="2025936348">
      <w:bodyDiv w:val="1"/>
      <w:marLeft w:val="0"/>
      <w:marRight w:val="0"/>
      <w:marTop w:val="0"/>
      <w:marBottom w:val="0"/>
      <w:divBdr>
        <w:top w:val="none" w:sz="0" w:space="0" w:color="auto"/>
        <w:left w:val="none" w:sz="0" w:space="0" w:color="auto"/>
        <w:bottom w:val="none" w:sz="0" w:space="0" w:color="auto"/>
        <w:right w:val="none" w:sz="0" w:space="0" w:color="auto"/>
      </w:divBdr>
    </w:div>
    <w:div w:id="2126923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comments" Target="comments.xml"/><Relationship Id="rId12" Type="http://schemas.openxmlformats.org/officeDocument/2006/relationships/image" Target="media/image3.jpe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hyperlink" Target="https://mts-commsbio.nature.com/cgi-bin/main.plex?el=A4Cx5FGx2A4eOr4I5A9ftdBykMwkOkWTeWwlEFXgQZ" TargetMode="External"/><Relationship Id="rId11" Type="http://schemas.openxmlformats.org/officeDocument/2006/relationships/image" Target="media/image2.png"/><Relationship Id="rId24"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emf"/><Relationship Id="rId4" Type="http://schemas.openxmlformats.org/officeDocument/2006/relationships/settings" Target="settings.xml"/><Relationship Id="rId9" Type="http://schemas.microsoft.com/office/2016/09/relationships/commentsIds" Target="commentsIds.xml"/><Relationship Id="rId14" Type="http://schemas.openxmlformats.org/officeDocument/2006/relationships/image" Target="media/image5.jpe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E1701F-E328-6E45-953E-6AE54F46EF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851</TotalTime>
  <Pages>18</Pages>
  <Words>6540</Words>
  <Characters>37281</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Miao, Benpeng</dc:creator>
  <cp:keywords/>
  <dc:description/>
  <cp:lastModifiedBy>Miao, Benpeng</cp:lastModifiedBy>
  <cp:revision>110</cp:revision>
  <dcterms:created xsi:type="dcterms:W3CDTF">2022-09-12T16:09:00Z</dcterms:created>
  <dcterms:modified xsi:type="dcterms:W3CDTF">2023-02-08T17:28:00Z</dcterms:modified>
</cp:coreProperties>
</file>